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16FB" w14:textId="77777777" w:rsidR="00D42727" w:rsidRDefault="00D42727" w:rsidP="00D42727">
      <w:pPr>
        <w:spacing w:after="0" w:line="240" w:lineRule="auto"/>
        <w:rPr>
          <w:b/>
          <w:bCs/>
          <w:szCs w:val="24"/>
        </w:rPr>
      </w:pPr>
    </w:p>
    <w:p w14:paraId="641F475E" w14:textId="342FC67A" w:rsidR="00D42727" w:rsidRPr="00D216A1" w:rsidRDefault="00D42727" w:rsidP="00D42727">
      <w:pPr>
        <w:spacing w:after="0" w:line="240" w:lineRule="auto"/>
        <w:rPr>
          <w:b/>
          <w:bCs/>
          <w:szCs w:val="24"/>
        </w:rPr>
      </w:pPr>
      <w:r w:rsidRPr="00D42727">
        <w:rPr>
          <w:b/>
          <w:bCs/>
          <w:szCs w:val="24"/>
        </w:rPr>
        <w:t>PROJETO DE LEI Nº 212/2025</w:t>
      </w:r>
    </w:p>
    <w:p w14:paraId="1F01CAF3" w14:textId="77777777" w:rsidR="00D42727" w:rsidRDefault="00D42727" w:rsidP="00D42727">
      <w:pPr>
        <w:spacing w:after="0" w:line="240" w:lineRule="auto"/>
        <w:rPr>
          <w:szCs w:val="24"/>
        </w:rPr>
      </w:pPr>
    </w:p>
    <w:p w14:paraId="272E9E6A" w14:textId="77777777" w:rsidR="00D42727" w:rsidRPr="00D216A1" w:rsidRDefault="00D42727" w:rsidP="00D42727">
      <w:pPr>
        <w:spacing w:after="0" w:line="240" w:lineRule="auto"/>
        <w:rPr>
          <w:szCs w:val="24"/>
        </w:rPr>
      </w:pPr>
    </w:p>
    <w:p w14:paraId="22D3920A" w14:textId="77777777" w:rsidR="00D42727" w:rsidRDefault="00D42727" w:rsidP="00D42727">
      <w:pPr>
        <w:spacing w:after="0" w:line="240" w:lineRule="auto"/>
        <w:ind w:left="4536"/>
        <w:rPr>
          <w:szCs w:val="24"/>
        </w:rPr>
      </w:pPr>
      <w:r w:rsidRPr="00D216A1">
        <w:rPr>
          <w:b/>
          <w:bCs/>
          <w:szCs w:val="24"/>
        </w:rPr>
        <w:t>ESTIMA A RECEITA E FIXA A DESPESA DO MUNICÍPIO DE S</w:t>
      </w:r>
      <w:r w:rsidRPr="00D216A1">
        <w:rPr>
          <w:b/>
          <w:bCs/>
          <w:szCs w:val="24"/>
          <w:highlight w:val="yellow"/>
        </w:rPr>
        <w:t>Ã</w:t>
      </w:r>
      <w:r w:rsidRPr="00D216A1">
        <w:rPr>
          <w:b/>
          <w:bCs/>
          <w:szCs w:val="24"/>
        </w:rPr>
        <w:t>O MIGUEL DO GOSTOSO/RN, PARA O EXERCÍCIO FINANCEIRO DE 2026</w:t>
      </w:r>
      <w:r w:rsidRPr="00D216A1">
        <w:rPr>
          <w:szCs w:val="24"/>
        </w:rPr>
        <w:t>.</w:t>
      </w:r>
    </w:p>
    <w:p w14:paraId="4670BC00" w14:textId="77777777" w:rsidR="00D42727" w:rsidRPr="00D216A1" w:rsidRDefault="00D42727" w:rsidP="00D42727">
      <w:pPr>
        <w:spacing w:after="0" w:line="240" w:lineRule="auto"/>
        <w:ind w:left="4536"/>
        <w:rPr>
          <w:szCs w:val="24"/>
        </w:rPr>
      </w:pPr>
    </w:p>
    <w:p w14:paraId="2996413B" w14:textId="77777777" w:rsidR="00D42727" w:rsidRPr="00D216A1" w:rsidRDefault="00D42727" w:rsidP="00D42727">
      <w:pPr>
        <w:spacing w:after="0" w:line="240" w:lineRule="auto"/>
        <w:rPr>
          <w:szCs w:val="24"/>
        </w:rPr>
      </w:pPr>
    </w:p>
    <w:p w14:paraId="045145BC" w14:textId="77777777" w:rsidR="00D42727" w:rsidRPr="00D216A1" w:rsidRDefault="00D42727" w:rsidP="00D42727">
      <w:pPr>
        <w:spacing w:after="0" w:line="240" w:lineRule="auto"/>
        <w:rPr>
          <w:szCs w:val="24"/>
        </w:rPr>
      </w:pPr>
      <w:r w:rsidRPr="00D216A1">
        <w:rPr>
          <w:szCs w:val="24"/>
        </w:rPr>
        <w:tab/>
      </w:r>
      <w:r w:rsidRPr="00D216A1">
        <w:rPr>
          <w:szCs w:val="24"/>
        </w:rPr>
        <w:tab/>
        <w:t xml:space="preserve">O PREFEITO MUNICIPAL DE </w:t>
      </w:r>
      <w:r w:rsidRPr="00D216A1">
        <w:rPr>
          <w:b/>
          <w:bCs/>
          <w:szCs w:val="24"/>
        </w:rPr>
        <w:t>S</w:t>
      </w:r>
      <w:r w:rsidRPr="00D42727">
        <w:rPr>
          <w:b/>
          <w:bCs/>
          <w:szCs w:val="24"/>
        </w:rPr>
        <w:t>Ã</w:t>
      </w:r>
      <w:r w:rsidRPr="00D216A1">
        <w:rPr>
          <w:b/>
          <w:bCs/>
          <w:szCs w:val="24"/>
        </w:rPr>
        <w:t>O MIGUEL DO GOSTOSO/RN</w:t>
      </w:r>
      <w:r w:rsidRPr="00D216A1">
        <w:rPr>
          <w:szCs w:val="24"/>
        </w:rPr>
        <w:t>, faço saber que a Câmara Municipal aprovou e eu sanciono a seguinte Lei:</w:t>
      </w:r>
    </w:p>
    <w:p w14:paraId="3CECF3D8" w14:textId="77777777" w:rsidR="00D42727" w:rsidRPr="00D216A1" w:rsidRDefault="00D42727" w:rsidP="00D42727">
      <w:pPr>
        <w:spacing w:after="0" w:line="240" w:lineRule="auto"/>
        <w:rPr>
          <w:szCs w:val="24"/>
        </w:rPr>
      </w:pPr>
    </w:p>
    <w:p w14:paraId="6953884C" w14:textId="77777777" w:rsidR="00D42727" w:rsidRPr="00D216A1" w:rsidRDefault="00D42727" w:rsidP="00D42727">
      <w:pPr>
        <w:spacing w:after="0" w:line="240" w:lineRule="auto"/>
        <w:jc w:val="center"/>
        <w:rPr>
          <w:b/>
          <w:szCs w:val="24"/>
        </w:rPr>
      </w:pPr>
      <w:r w:rsidRPr="00D216A1">
        <w:rPr>
          <w:b/>
          <w:szCs w:val="24"/>
        </w:rPr>
        <w:t>TÍTULO I</w:t>
      </w:r>
    </w:p>
    <w:p w14:paraId="44A0BBDA" w14:textId="77777777" w:rsidR="00D42727" w:rsidRPr="00D216A1" w:rsidRDefault="00D42727" w:rsidP="00D42727">
      <w:pPr>
        <w:spacing w:after="0" w:line="240" w:lineRule="auto"/>
        <w:jc w:val="center"/>
        <w:rPr>
          <w:b/>
          <w:szCs w:val="24"/>
        </w:rPr>
      </w:pPr>
      <w:r w:rsidRPr="00D216A1">
        <w:rPr>
          <w:b/>
          <w:szCs w:val="24"/>
        </w:rPr>
        <w:t>DISPOSIÇÃO GERAL</w:t>
      </w:r>
    </w:p>
    <w:p w14:paraId="655377C7" w14:textId="77777777" w:rsidR="00D42727" w:rsidRPr="00D216A1" w:rsidRDefault="00D42727" w:rsidP="00D42727">
      <w:pPr>
        <w:spacing w:after="0" w:line="240" w:lineRule="auto"/>
        <w:jc w:val="center"/>
        <w:rPr>
          <w:szCs w:val="24"/>
        </w:rPr>
      </w:pPr>
    </w:p>
    <w:p w14:paraId="4E270879" w14:textId="77777777" w:rsidR="00D42727" w:rsidRPr="00D216A1" w:rsidRDefault="00D42727" w:rsidP="00D42727">
      <w:pPr>
        <w:spacing w:after="0" w:line="240" w:lineRule="auto"/>
        <w:rPr>
          <w:szCs w:val="24"/>
        </w:rPr>
      </w:pPr>
      <w:r w:rsidRPr="00D216A1">
        <w:rPr>
          <w:szCs w:val="24"/>
        </w:rPr>
        <w:tab/>
      </w:r>
      <w:r w:rsidRPr="00D216A1">
        <w:rPr>
          <w:szCs w:val="24"/>
        </w:rPr>
        <w:tab/>
        <w:t>Art. 1º - Esta Lei estima a Receita e fixa a Despesa do Município de</w:t>
      </w:r>
      <w:r w:rsidRPr="00D216A1">
        <w:rPr>
          <w:b/>
          <w:bCs/>
          <w:szCs w:val="24"/>
        </w:rPr>
        <w:t xml:space="preserve"> S</w:t>
      </w:r>
      <w:r w:rsidRPr="00D42727">
        <w:rPr>
          <w:b/>
          <w:bCs/>
          <w:szCs w:val="24"/>
        </w:rPr>
        <w:t>Ã</w:t>
      </w:r>
      <w:r w:rsidRPr="00D216A1">
        <w:rPr>
          <w:b/>
          <w:bCs/>
          <w:szCs w:val="24"/>
        </w:rPr>
        <w:t>O MIGUEL DO GOSTOSO/RN</w:t>
      </w:r>
      <w:r w:rsidRPr="00D216A1">
        <w:rPr>
          <w:szCs w:val="24"/>
        </w:rPr>
        <w:t xml:space="preserve"> para o exercício financeiro de 2026, de acordo com a Lei Orgânica do Município e a Lei Municipal que "Dispõe sobre as Diretrizes para Elaboração do Orçamento Geral do Município para o exercício de 2026”, compreendendo:</w:t>
      </w:r>
    </w:p>
    <w:p w14:paraId="4A7CFB79" w14:textId="77777777" w:rsidR="00D42727" w:rsidRPr="00D216A1" w:rsidRDefault="00D42727" w:rsidP="00D42727">
      <w:pPr>
        <w:spacing w:after="0" w:line="240" w:lineRule="auto"/>
        <w:rPr>
          <w:szCs w:val="24"/>
        </w:rPr>
      </w:pPr>
    </w:p>
    <w:p w14:paraId="37C831EA" w14:textId="77777777" w:rsidR="00D42727" w:rsidRPr="00D216A1" w:rsidRDefault="00D42727" w:rsidP="00D42727">
      <w:pPr>
        <w:spacing w:after="0" w:line="240" w:lineRule="auto"/>
        <w:rPr>
          <w:szCs w:val="24"/>
        </w:rPr>
      </w:pPr>
      <w:r w:rsidRPr="00D216A1">
        <w:rPr>
          <w:szCs w:val="24"/>
        </w:rPr>
        <w:tab/>
      </w:r>
      <w:r w:rsidRPr="00D216A1">
        <w:rPr>
          <w:szCs w:val="24"/>
        </w:rPr>
        <w:tab/>
        <w:t>I - O Orçamento Fiscal referente aos Poderes do Município, seus fundos, órgãos e entidades da Administração Direta;</w:t>
      </w:r>
    </w:p>
    <w:p w14:paraId="162FB980" w14:textId="77777777" w:rsidR="00D42727" w:rsidRPr="00D216A1" w:rsidRDefault="00D42727" w:rsidP="00D42727">
      <w:pPr>
        <w:spacing w:after="0" w:line="240" w:lineRule="auto"/>
        <w:rPr>
          <w:szCs w:val="24"/>
        </w:rPr>
      </w:pPr>
    </w:p>
    <w:p w14:paraId="3FEC0EA9" w14:textId="77777777" w:rsidR="00D42727" w:rsidRPr="00D216A1" w:rsidRDefault="00D42727" w:rsidP="00D42727">
      <w:pPr>
        <w:spacing w:after="0" w:line="240" w:lineRule="auto"/>
        <w:rPr>
          <w:szCs w:val="24"/>
        </w:rPr>
      </w:pPr>
      <w:r w:rsidRPr="00D216A1">
        <w:rPr>
          <w:szCs w:val="24"/>
        </w:rPr>
        <w:tab/>
      </w:r>
      <w:r w:rsidRPr="00D216A1">
        <w:rPr>
          <w:szCs w:val="24"/>
        </w:rPr>
        <w:tab/>
        <w:t>II - O Orçamento da Seguridade Social, abrangendo todas as entidades e órgãos a ela vinculados, da Administração Direta.</w:t>
      </w:r>
    </w:p>
    <w:p w14:paraId="5DFB34D9" w14:textId="77777777" w:rsidR="00D42727" w:rsidRPr="00D216A1" w:rsidRDefault="00D42727" w:rsidP="00D42727">
      <w:pPr>
        <w:spacing w:after="0" w:line="240" w:lineRule="auto"/>
        <w:rPr>
          <w:szCs w:val="24"/>
        </w:rPr>
      </w:pPr>
    </w:p>
    <w:p w14:paraId="09273F4E" w14:textId="77777777" w:rsidR="00D42727" w:rsidRPr="00D216A1" w:rsidRDefault="00D42727" w:rsidP="00D42727">
      <w:pPr>
        <w:spacing w:after="0" w:line="240" w:lineRule="auto"/>
        <w:jc w:val="center"/>
        <w:rPr>
          <w:b/>
          <w:szCs w:val="24"/>
        </w:rPr>
      </w:pPr>
      <w:r w:rsidRPr="00D216A1">
        <w:rPr>
          <w:b/>
          <w:szCs w:val="24"/>
        </w:rPr>
        <w:t>TÍTULO II</w:t>
      </w:r>
    </w:p>
    <w:p w14:paraId="41B437FA" w14:textId="77777777" w:rsidR="00D42727" w:rsidRPr="00D216A1" w:rsidRDefault="00D42727" w:rsidP="00D42727">
      <w:pPr>
        <w:spacing w:after="0" w:line="240" w:lineRule="auto"/>
        <w:jc w:val="center"/>
        <w:rPr>
          <w:b/>
          <w:szCs w:val="24"/>
        </w:rPr>
      </w:pPr>
      <w:r w:rsidRPr="00D216A1">
        <w:rPr>
          <w:b/>
          <w:szCs w:val="24"/>
        </w:rPr>
        <w:t>DOS ORÇAMENTOS FISCAL E DA SEGURIDADE SOCIAL</w:t>
      </w:r>
    </w:p>
    <w:p w14:paraId="39D444D7" w14:textId="77777777" w:rsidR="00D42727" w:rsidRPr="00D216A1" w:rsidRDefault="00D42727" w:rsidP="00D42727">
      <w:pPr>
        <w:spacing w:after="0" w:line="240" w:lineRule="auto"/>
        <w:jc w:val="center"/>
        <w:rPr>
          <w:b/>
          <w:szCs w:val="24"/>
        </w:rPr>
      </w:pPr>
    </w:p>
    <w:p w14:paraId="1F61CFD6" w14:textId="77777777" w:rsidR="00D42727" w:rsidRPr="00D216A1" w:rsidRDefault="00D42727" w:rsidP="00D42727">
      <w:pPr>
        <w:autoSpaceDE w:val="0"/>
        <w:autoSpaceDN w:val="0"/>
        <w:adjustRightInd w:val="0"/>
        <w:spacing w:after="0" w:line="240" w:lineRule="auto"/>
        <w:jc w:val="center"/>
        <w:rPr>
          <w:b/>
          <w:szCs w:val="24"/>
        </w:rPr>
      </w:pPr>
      <w:r w:rsidRPr="00D216A1">
        <w:rPr>
          <w:b/>
          <w:szCs w:val="24"/>
        </w:rPr>
        <w:t>CAPÍTULO I</w:t>
      </w:r>
    </w:p>
    <w:p w14:paraId="066F1585" w14:textId="77777777" w:rsidR="00D42727" w:rsidRPr="00D216A1" w:rsidRDefault="00D42727" w:rsidP="00D42727">
      <w:pPr>
        <w:spacing w:after="0" w:line="240" w:lineRule="auto"/>
        <w:jc w:val="center"/>
        <w:rPr>
          <w:b/>
          <w:szCs w:val="24"/>
        </w:rPr>
      </w:pPr>
      <w:r w:rsidRPr="00D216A1">
        <w:rPr>
          <w:b/>
          <w:szCs w:val="24"/>
        </w:rPr>
        <w:t>DA ESTIMATIVA DA RECEITA</w:t>
      </w:r>
    </w:p>
    <w:p w14:paraId="6E993B72" w14:textId="77777777" w:rsidR="00D42727" w:rsidRPr="00D216A1" w:rsidRDefault="00D42727" w:rsidP="00D42727">
      <w:pPr>
        <w:spacing w:after="0" w:line="240" w:lineRule="auto"/>
        <w:jc w:val="center"/>
        <w:rPr>
          <w:szCs w:val="24"/>
        </w:rPr>
      </w:pPr>
    </w:p>
    <w:p w14:paraId="078A8418" w14:textId="77777777" w:rsidR="00D42727" w:rsidRPr="00D216A1" w:rsidRDefault="00D42727" w:rsidP="00D42727">
      <w:pPr>
        <w:spacing w:after="0" w:line="240" w:lineRule="auto"/>
        <w:rPr>
          <w:szCs w:val="24"/>
        </w:rPr>
      </w:pPr>
      <w:r w:rsidRPr="00D216A1">
        <w:rPr>
          <w:szCs w:val="24"/>
        </w:rPr>
        <w:tab/>
      </w:r>
      <w:r w:rsidRPr="00D216A1">
        <w:rPr>
          <w:szCs w:val="24"/>
        </w:rPr>
        <w:tab/>
        <w:t xml:space="preserve">Art. 2º - O orçamento fiscal e da seguridade social do Município de </w:t>
      </w:r>
      <w:r w:rsidRPr="00D216A1">
        <w:rPr>
          <w:b/>
          <w:bCs/>
          <w:szCs w:val="24"/>
        </w:rPr>
        <w:t>S</w:t>
      </w:r>
      <w:r w:rsidRPr="00D42727">
        <w:rPr>
          <w:b/>
          <w:bCs/>
          <w:szCs w:val="24"/>
        </w:rPr>
        <w:t>Ã</w:t>
      </w:r>
      <w:r w:rsidRPr="00D216A1">
        <w:rPr>
          <w:b/>
          <w:bCs/>
          <w:szCs w:val="24"/>
        </w:rPr>
        <w:t>O MIGUEL DO GOSTOSO/RN,</w:t>
      </w:r>
      <w:r w:rsidRPr="00D216A1">
        <w:rPr>
          <w:szCs w:val="24"/>
        </w:rPr>
        <w:t xml:space="preserve"> em obediência ao princípio do equilíbrio das contas públicas de que trata a Lei Complementar nº 101/2000, de 4 de maio de 2000, art. 1º, § 1º, fica estabelecido em igual valor entre a receita estimada e a soma das despesas fixadas/autorizadas acrescida da reserva de contingência.</w:t>
      </w:r>
    </w:p>
    <w:p w14:paraId="67FA53F9" w14:textId="77777777" w:rsidR="00D42727" w:rsidRPr="00D216A1" w:rsidRDefault="00D42727" w:rsidP="00D42727">
      <w:pPr>
        <w:spacing w:after="0" w:line="240" w:lineRule="auto"/>
        <w:rPr>
          <w:szCs w:val="24"/>
        </w:rPr>
      </w:pPr>
    </w:p>
    <w:p w14:paraId="09746DB3" w14:textId="77777777" w:rsidR="00D42727" w:rsidRPr="00D216A1" w:rsidRDefault="00D42727" w:rsidP="00D42727">
      <w:pPr>
        <w:spacing w:after="0" w:line="240" w:lineRule="auto"/>
        <w:rPr>
          <w:szCs w:val="24"/>
        </w:rPr>
      </w:pPr>
      <w:r w:rsidRPr="00D216A1">
        <w:rPr>
          <w:szCs w:val="24"/>
        </w:rPr>
        <w:tab/>
      </w:r>
      <w:r w:rsidRPr="00D216A1">
        <w:rPr>
          <w:szCs w:val="24"/>
        </w:rPr>
        <w:tab/>
        <w:t>Parágrafo Único – Incidirá como dedução sobre o valor bruto da receita estimada para o exercício de 2026, à conta retificadora que representará as contribuições automáticas debitadas dos recursos do ente público municipal, em favor do Fundo de Manutenção e Desenvolvimento da Educação Básica e de Valorização dos Profissionais da Educação/FUNDEB.</w:t>
      </w:r>
    </w:p>
    <w:p w14:paraId="52A11144" w14:textId="77777777" w:rsidR="00D42727" w:rsidRPr="00D216A1" w:rsidRDefault="00D42727" w:rsidP="00D42727">
      <w:pPr>
        <w:spacing w:after="0" w:line="240" w:lineRule="auto"/>
        <w:rPr>
          <w:szCs w:val="24"/>
        </w:rPr>
      </w:pPr>
    </w:p>
    <w:p w14:paraId="0820421C" w14:textId="77777777" w:rsidR="00D42727" w:rsidRDefault="00D42727" w:rsidP="00D42727">
      <w:pPr>
        <w:spacing w:after="0" w:line="240" w:lineRule="auto"/>
        <w:rPr>
          <w:szCs w:val="24"/>
        </w:rPr>
      </w:pPr>
      <w:r w:rsidRPr="00D216A1">
        <w:rPr>
          <w:szCs w:val="24"/>
        </w:rPr>
        <w:tab/>
      </w:r>
      <w:r w:rsidRPr="00D216A1">
        <w:rPr>
          <w:szCs w:val="24"/>
        </w:rPr>
        <w:tab/>
        <w:t>Art. 3º - A receita decorrerá da arrecadação de Tributos, Contribuições, Receita Patrimonial, Receita de Serviço, Transferências Correntes e outras conforme a legislação vigente, e discriminada em anexo, a esta Lei.</w:t>
      </w:r>
    </w:p>
    <w:p w14:paraId="4C5BAD15" w14:textId="77777777" w:rsidR="00D42727" w:rsidRDefault="00D42727" w:rsidP="00D42727">
      <w:pPr>
        <w:spacing w:after="0" w:line="240" w:lineRule="auto"/>
        <w:rPr>
          <w:szCs w:val="24"/>
        </w:rPr>
      </w:pPr>
    </w:p>
    <w:p w14:paraId="08480511" w14:textId="77777777" w:rsidR="00D42727" w:rsidRPr="00D216A1" w:rsidRDefault="00D42727" w:rsidP="00D42727">
      <w:pPr>
        <w:spacing w:after="0" w:line="240" w:lineRule="auto"/>
        <w:rPr>
          <w:szCs w:val="24"/>
        </w:rPr>
      </w:pPr>
    </w:p>
    <w:p w14:paraId="5894EEEF" w14:textId="77777777" w:rsidR="00D42727" w:rsidRPr="00D216A1" w:rsidRDefault="00D42727" w:rsidP="00D42727">
      <w:pPr>
        <w:spacing w:after="0" w:line="240" w:lineRule="auto"/>
        <w:rPr>
          <w:szCs w:val="24"/>
        </w:rPr>
      </w:pPr>
    </w:p>
    <w:p w14:paraId="649F1A98" w14:textId="77777777" w:rsidR="00D42727" w:rsidRPr="00D216A1" w:rsidRDefault="00D42727" w:rsidP="00D42727">
      <w:pPr>
        <w:spacing w:after="0" w:line="240" w:lineRule="auto"/>
        <w:jc w:val="center"/>
        <w:rPr>
          <w:b/>
          <w:szCs w:val="24"/>
        </w:rPr>
      </w:pPr>
      <w:r w:rsidRPr="00D216A1">
        <w:rPr>
          <w:b/>
          <w:szCs w:val="24"/>
        </w:rPr>
        <w:t>CAPÍTULO II</w:t>
      </w:r>
    </w:p>
    <w:p w14:paraId="46CC15E8" w14:textId="77777777" w:rsidR="00D42727" w:rsidRPr="00D216A1" w:rsidRDefault="00D42727" w:rsidP="00D42727">
      <w:pPr>
        <w:spacing w:after="0" w:line="240" w:lineRule="auto"/>
        <w:jc w:val="center"/>
        <w:rPr>
          <w:b/>
          <w:szCs w:val="24"/>
        </w:rPr>
      </w:pPr>
      <w:r w:rsidRPr="00D216A1">
        <w:rPr>
          <w:b/>
          <w:szCs w:val="24"/>
        </w:rPr>
        <w:t>FIXAÇÃO DA DESPESA</w:t>
      </w:r>
    </w:p>
    <w:p w14:paraId="1E713336" w14:textId="77777777" w:rsidR="00D42727" w:rsidRPr="00D216A1" w:rsidRDefault="00D42727" w:rsidP="00D42727">
      <w:pPr>
        <w:spacing w:after="0" w:line="240" w:lineRule="auto"/>
        <w:jc w:val="center"/>
        <w:rPr>
          <w:b/>
          <w:szCs w:val="24"/>
        </w:rPr>
      </w:pPr>
    </w:p>
    <w:p w14:paraId="77C64E7E" w14:textId="77777777" w:rsidR="00D42727" w:rsidRPr="00D216A1" w:rsidRDefault="00D42727" w:rsidP="00D42727">
      <w:pPr>
        <w:spacing w:line="240" w:lineRule="auto"/>
        <w:rPr>
          <w:szCs w:val="24"/>
        </w:rPr>
      </w:pPr>
      <w:r w:rsidRPr="00D216A1">
        <w:rPr>
          <w:szCs w:val="24"/>
        </w:rPr>
        <w:tab/>
      </w:r>
      <w:r w:rsidRPr="00D216A1">
        <w:rPr>
          <w:szCs w:val="24"/>
        </w:rPr>
        <w:tab/>
        <w:t xml:space="preserve">Art. 4° - A despesa total é fixada no valor de </w:t>
      </w:r>
      <w:bookmarkStart w:id="0" w:name="_Hlk497729074"/>
      <w:r w:rsidRPr="00D216A1">
        <w:rPr>
          <w:szCs w:val="24"/>
        </w:rPr>
        <w:t>R$ 93.378.923,00 (noventa e três milhões, trezentos e setenta e oito mil, novecentos e vinte e três reais).</w:t>
      </w:r>
      <w:bookmarkEnd w:id="0"/>
    </w:p>
    <w:p w14:paraId="0DBE3A9A" w14:textId="77777777" w:rsidR="00D42727" w:rsidRPr="00D216A1" w:rsidRDefault="00D42727" w:rsidP="00D42727">
      <w:pPr>
        <w:spacing w:after="0" w:line="240" w:lineRule="auto"/>
        <w:rPr>
          <w:szCs w:val="24"/>
        </w:rPr>
      </w:pPr>
    </w:p>
    <w:p w14:paraId="48AE4C14" w14:textId="4DF719F1" w:rsidR="00D42727" w:rsidRPr="00D216A1" w:rsidRDefault="00D42727" w:rsidP="00D42727">
      <w:pPr>
        <w:spacing w:line="240" w:lineRule="auto"/>
        <w:rPr>
          <w:szCs w:val="24"/>
        </w:rPr>
      </w:pPr>
      <w:bookmarkStart w:id="1" w:name="_Hlk497729121"/>
      <w:r w:rsidRPr="00D216A1">
        <w:rPr>
          <w:szCs w:val="24"/>
        </w:rPr>
        <w:tab/>
      </w:r>
      <w:r w:rsidRPr="00D216A1">
        <w:rPr>
          <w:szCs w:val="24"/>
        </w:rPr>
        <w:tab/>
        <w:t>I – No Orçamento Fiscal é fixada em R$ 64.089.897,00 (sessenta e quatro milhões, oitenta e nove mil, oitocentos e noventa e sete reais).</w:t>
      </w:r>
    </w:p>
    <w:p w14:paraId="3BFBAA1F" w14:textId="1BAB184E" w:rsidR="00D42727" w:rsidRPr="00D216A1" w:rsidRDefault="00D42727" w:rsidP="00D42727">
      <w:pPr>
        <w:spacing w:line="240" w:lineRule="auto"/>
        <w:rPr>
          <w:szCs w:val="24"/>
        </w:rPr>
      </w:pPr>
      <w:r w:rsidRPr="00D216A1">
        <w:rPr>
          <w:szCs w:val="24"/>
        </w:rPr>
        <w:tab/>
      </w:r>
      <w:r w:rsidRPr="00D216A1">
        <w:rPr>
          <w:szCs w:val="24"/>
        </w:rPr>
        <w:tab/>
        <w:t>II – No Orçamento da Seguridade Social é fixada em R$ 28.289.026,00 (vinte e oito milhões, duzentos e oitenta e nove mil, vinte e seis reais).</w:t>
      </w:r>
    </w:p>
    <w:bookmarkEnd w:id="1"/>
    <w:p w14:paraId="40BA33EA" w14:textId="77777777" w:rsidR="00D42727" w:rsidRPr="00D216A1" w:rsidRDefault="00D42727" w:rsidP="00D42727">
      <w:pPr>
        <w:spacing w:after="0" w:line="240" w:lineRule="auto"/>
        <w:rPr>
          <w:szCs w:val="24"/>
        </w:rPr>
      </w:pPr>
      <w:r w:rsidRPr="00D216A1">
        <w:rPr>
          <w:szCs w:val="24"/>
        </w:rPr>
        <w:tab/>
      </w:r>
      <w:r w:rsidRPr="00D216A1">
        <w:rPr>
          <w:szCs w:val="24"/>
        </w:rPr>
        <w:tab/>
        <w:t>§1º - A diferença entre a Receita e a Despesa, na importância de R$ 1.000.000,00 (um milhão de reais), servirá como Reserva de Contingência, que será destinada a cobrir passivos contingentes e atender eventuais imprevistos.</w:t>
      </w:r>
    </w:p>
    <w:p w14:paraId="42666AE1" w14:textId="77777777" w:rsidR="00D42727" w:rsidRPr="00D216A1" w:rsidRDefault="00D42727" w:rsidP="00D42727">
      <w:pPr>
        <w:spacing w:after="0" w:line="240" w:lineRule="auto"/>
        <w:rPr>
          <w:szCs w:val="24"/>
        </w:rPr>
      </w:pPr>
    </w:p>
    <w:p w14:paraId="6E1F0F87" w14:textId="77777777" w:rsidR="00D42727" w:rsidRPr="00D216A1" w:rsidRDefault="00D42727" w:rsidP="00D42727">
      <w:pPr>
        <w:spacing w:after="0" w:line="240" w:lineRule="auto"/>
        <w:ind w:firstLine="698"/>
        <w:rPr>
          <w:szCs w:val="24"/>
        </w:rPr>
      </w:pPr>
      <w:r w:rsidRPr="00D216A1">
        <w:rPr>
          <w:szCs w:val="24"/>
        </w:rPr>
        <w:t>§2º - Caso não seja necessária à utilização da reserva de contingência para sua finalidade, no todo ou em parte, até o mês de outubro, o saldo remanescente poderá ser utilizado para abertura de créditos adicionais suplementares de dotações que se tornaram insuficientes.</w:t>
      </w:r>
    </w:p>
    <w:p w14:paraId="38A3AD6C" w14:textId="77777777" w:rsidR="00D42727" w:rsidRPr="00D216A1" w:rsidRDefault="00D42727" w:rsidP="00D42727">
      <w:pPr>
        <w:spacing w:after="0" w:line="240" w:lineRule="auto"/>
        <w:rPr>
          <w:szCs w:val="24"/>
        </w:rPr>
      </w:pPr>
    </w:p>
    <w:p w14:paraId="7A40D9FA" w14:textId="77777777" w:rsidR="00D42727" w:rsidRPr="00D216A1" w:rsidRDefault="00D42727" w:rsidP="00D42727">
      <w:pPr>
        <w:spacing w:after="0" w:line="240" w:lineRule="auto"/>
        <w:rPr>
          <w:szCs w:val="24"/>
        </w:rPr>
      </w:pPr>
      <w:r w:rsidRPr="00D216A1">
        <w:rPr>
          <w:szCs w:val="24"/>
        </w:rPr>
        <w:tab/>
      </w:r>
      <w:r w:rsidRPr="00D216A1">
        <w:rPr>
          <w:szCs w:val="24"/>
        </w:rPr>
        <w:tab/>
        <w:t>Art. 5° - A despesa fixada à conta de recursos previsto neste Capítulo, e executada orçamentária e financeiramente, observada a discriminação em anexo, a esta Lei.</w:t>
      </w:r>
    </w:p>
    <w:p w14:paraId="24F7528B" w14:textId="77777777" w:rsidR="00D42727" w:rsidRPr="00D216A1" w:rsidRDefault="00D42727" w:rsidP="00D42727">
      <w:pPr>
        <w:spacing w:after="0" w:line="240" w:lineRule="auto"/>
        <w:rPr>
          <w:szCs w:val="24"/>
        </w:rPr>
      </w:pPr>
    </w:p>
    <w:p w14:paraId="3F2668C0" w14:textId="77777777" w:rsidR="00D42727" w:rsidRPr="00D216A1" w:rsidRDefault="00D42727" w:rsidP="00D42727">
      <w:pPr>
        <w:spacing w:after="0" w:line="240" w:lineRule="auto"/>
        <w:rPr>
          <w:szCs w:val="24"/>
        </w:rPr>
      </w:pPr>
      <w:r w:rsidRPr="00D216A1">
        <w:rPr>
          <w:szCs w:val="24"/>
        </w:rPr>
        <w:tab/>
      </w:r>
      <w:r w:rsidRPr="00D216A1">
        <w:rPr>
          <w:szCs w:val="24"/>
        </w:rPr>
        <w:tab/>
        <w:t xml:space="preserve">Parágrafo Único – A discriminação da despesa desta Lei, desdobradas em despesas por função, </w:t>
      </w:r>
      <w:proofErr w:type="spellStart"/>
      <w:r w:rsidRPr="00D216A1">
        <w:rPr>
          <w:szCs w:val="24"/>
        </w:rPr>
        <w:t>sub-função</w:t>
      </w:r>
      <w:proofErr w:type="spellEnd"/>
      <w:r w:rsidRPr="00D216A1">
        <w:rPr>
          <w:szCs w:val="24"/>
        </w:rPr>
        <w:t>, programa, projeto, atividade ou operações especiais e, quanto a sua natureza, por categoria econômica (CE), Grupo de Natureza de Despesa (GND), até a Modalidade de Aplicação (MA), com apropriação dos gastos nos respectivos elementos de despesas de que tratam as portarias expedidas pela Secretaria do Tesouro Nacional – STN, relativas às normas de contabilidade pública.</w:t>
      </w:r>
    </w:p>
    <w:p w14:paraId="3F8D67D0" w14:textId="77777777" w:rsidR="00D42727" w:rsidRPr="00D216A1" w:rsidRDefault="00D42727" w:rsidP="00D42727">
      <w:pPr>
        <w:spacing w:after="0" w:line="240" w:lineRule="auto"/>
        <w:rPr>
          <w:szCs w:val="24"/>
        </w:rPr>
      </w:pPr>
    </w:p>
    <w:p w14:paraId="2ED47D24" w14:textId="77777777" w:rsidR="00D42727" w:rsidRPr="00D216A1" w:rsidRDefault="00D42727" w:rsidP="00D42727">
      <w:pPr>
        <w:spacing w:after="0" w:line="240" w:lineRule="auto"/>
        <w:jc w:val="center"/>
        <w:rPr>
          <w:b/>
          <w:szCs w:val="24"/>
        </w:rPr>
      </w:pPr>
      <w:r w:rsidRPr="00D216A1">
        <w:rPr>
          <w:b/>
          <w:szCs w:val="24"/>
        </w:rPr>
        <w:t>TÍTULO III</w:t>
      </w:r>
    </w:p>
    <w:p w14:paraId="28D19B1B" w14:textId="77777777" w:rsidR="00D42727" w:rsidRPr="00D216A1" w:rsidRDefault="00D42727" w:rsidP="00D42727">
      <w:pPr>
        <w:spacing w:after="0" w:line="240" w:lineRule="auto"/>
        <w:jc w:val="center"/>
        <w:rPr>
          <w:b/>
          <w:szCs w:val="24"/>
        </w:rPr>
      </w:pPr>
      <w:r w:rsidRPr="00D216A1">
        <w:rPr>
          <w:b/>
          <w:szCs w:val="24"/>
        </w:rPr>
        <w:t>DA AUTORIZAÇÃO PARA ABERTURA DE CRÉDITOS</w:t>
      </w:r>
    </w:p>
    <w:p w14:paraId="0C382A29" w14:textId="77777777" w:rsidR="00D42727" w:rsidRPr="00D216A1" w:rsidRDefault="00D42727" w:rsidP="00D42727">
      <w:pPr>
        <w:spacing w:after="0" w:line="240" w:lineRule="auto"/>
        <w:rPr>
          <w:szCs w:val="24"/>
        </w:rPr>
      </w:pPr>
    </w:p>
    <w:p w14:paraId="61B62815" w14:textId="77777777" w:rsidR="00D42727" w:rsidRPr="00D216A1" w:rsidRDefault="00D42727" w:rsidP="00D42727">
      <w:pPr>
        <w:autoSpaceDE w:val="0"/>
        <w:autoSpaceDN w:val="0"/>
        <w:adjustRightInd w:val="0"/>
        <w:spacing w:after="0" w:line="240" w:lineRule="auto"/>
        <w:jc w:val="center"/>
        <w:rPr>
          <w:b/>
          <w:szCs w:val="24"/>
        </w:rPr>
      </w:pPr>
      <w:r w:rsidRPr="00D216A1">
        <w:rPr>
          <w:b/>
          <w:szCs w:val="24"/>
        </w:rPr>
        <w:t>CAPÍTULO I</w:t>
      </w:r>
    </w:p>
    <w:p w14:paraId="242C8885" w14:textId="77777777" w:rsidR="00D42727" w:rsidRPr="00D216A1" w:rsidRDefault="00D42727" w:rsidP="00D42727">
      <w:pPr>
        <w:spacing w:after="0" w:line="240" w:lineRule="auto"/>
        <w:jc w:val="center"/>
        <w:rPr>
          <w:b/>
          <w:szCs w:val="24"/>
        </w:rPr>
      </w:pPr>
      <w:r w:rsidRPr="00D216A1">
        <w:rPr>
          <w:b/>
          <w:szCs w:val="24"/>
        </w:rPr>
        <w:t>DOS CRÉDITOS SUPLEMENTARES</w:t>
      </w:r>
    </w:p>
    <w:p w14:paraId="5B7E1674" w14:textId="77777777" w:rsidR="00D42727" w:rsidRPr="00D216A1" w:rsidRDefault="00D42727" w:rsidP="00D42727">
      <w:pPr>
        <w:spacing w:after="0" w:line="240" w:lineRule="auto"/>
        <w:rPr>
          <w:szCs w:val="24"/>
        </w:rPr>
      </w:pPr>
    </w:p>
    <w:p w14:paraId="0F304C91" w14:textId="77777777" w:rsidR="00D42727" w:rsidRPr="00D216A1" w:rsidRDefault="00D42727" w:rsidP="00D42727">
      <w:pPr>
        <w:spacing w:after="0" w:line="240" w:lineRule="auto"/>
        <w:rPr>
          <w:szCs w:val="24"/>
        </w:rPr>
      </w:pPr>
      <w:r w:rsidRPr="00D216A1">
        <w:rPr>
          <w:szCs w:val="24"/>
        </w:rPr>
        <w:tab/>
      </w:r>
      <w:r w:rsidRPr="00D216A1">
        <w:rPr>
          <w:szCs w:val="24"/>
        </w:rPr>
        <w:tab/>
        <w:t>Art. 6° - O Poder Executivo fica autorizado a:</w:t>
      </w:r>
    </w:p>
    <w:p w14:paraId="4AF603C8" w14:textId="77777777" w:rsidR="00D42727" w:rsidRPr="00D216A1" w:rsidRDefault="00D42727" w:rsidP="00D42727">
      <w:pPr>
        <w:tabs>
          <w:tab w:val="left" w:pos="2493"/>
        </w:tabs>
        <w:spacing w:after="0" w:line="240" w:lineRule="auto"/>
        <w:rPr>
          <w:szCs w:val="24"/>
        </w:rPr>
      </w:pPr>
    </w:p>
    <w:p w14:paraId="5AFBF6D5" w14:textId="77777777" w:rsidR="00D42727" w:rsidRPr="00D216A1" w:rsidRDefault="00D42727" w:rsidP="00D42727">
      <w:pPr>
        <w:spacing w:after="0" w:line="240" w:lineRule="auto"/>
        <w:rPr>
          <w:szCs w:val="24"/>
        </w:rPr>
      </w:pPr>
      <w:r w:rsidRPr="00D216A1">
        <w:rPr>
          <w:szCs w:val="24"/>
        </w:rPr>
        <w:tab/>
      </w:r>
      <w:r w:rsidRPr="00D216A1">
        <w:rPr>
          <w:szCs w:val="24"/>
        </w:rPr>
        <w:tab/>
        <w:t>I - Suplementar as dotações orçamentárias que necessitem de reforço orçamentário, utilizando-se como fonte de recurso, os definidos nos artigos 7º e 43 da Lei Federal nº 4.320, de 17 de março de 1964, provenientes:</w:t>
      </w:r>
    </w:p>
    <w:p w14:paraId="0F3927CB" w14:textId="77777777" w:rsidR="00D42727" w:rsidRPr="00D216A1" w:rsidRDefault="00D42727" w:rsidP="00D42727">
      <w:pPr>
        <w:spacing w:after="0" w:line="240" w:lineRule="auto"/>
        <w:rPr>
          <w:szCs w:val="24"/>
        </w:rPr>
      </w:pPr>
    </w:p>
    <w:p w14:paraId="1EB84521" w14:textId="77777777" w:rsidR="00D42727" w:rsidRPr="00D216A1" w:rsidRDefault="00D42727" w:rsidP="00D42727">
      <w:pPr>
        <w:spacing w:after="0" w:line="240" w:lineRule="auto"/>
        <w:rPr>
          <w:szCs w:val="24"/>
        </w:rPr>
      </w:pPr>
      <w:r w:rsidRPr="00D216A1">
        <w:rPr>
          <w:szCs w:val="24"/>
        </w:rPr>
        <w:t>a) superávit financeiro apurado em balanço patrimonial do exercício anterior, nos termos do inciso I do §1º do art. 43 da Lei Federal nº 4.320, de 17 de março de 1964;</w:t>
      </w:r>
    </w:p>
    <w:p w14:paraId="1E40C72D" w14:textId="77777777" w:rsidR="00D42727" w:rsidRPr="00D216A1" w:rsidRDefault="00D42727" w:rsidP="00D42727">
      <w:pPr>
        <w:spacing w:after="0" w:line="240" w:lineRule="auto"/>
        <w:rPr>
          <w:szCs w:val="24"/>
        </w:rPr>
      </w:pPr>
      <w:r w:rsidRPr="00D216A1">
        <w:rPr>
          <w:szCs w:val="24"/>
        </w:rPr>
        <w:lastRenderedPageBreak/>
        <w:t>b) excesso de arrecadação, nos termos do inciso II do § 1º do art. 43 da Lei federal nº 4.320, de 17 de março de 1964;</w:t>
      </w:r>
    </w:p>
    <w:p w14:paraId="3625C810" w14:textId="77777777" w:rsidR="00D42727" w:rsidRPr="00D216A1" w:rsidRDefault="00D42727" w:rsidP="00D42727">
      <w:pPr>
        <w:spacing w:after="0" w:line="240" w:lineRule="auto"/>
        <w:rPr>
          <w:szCs w:val="24"/>
        </w:rPr>
      </w:pPr>
      <w:r w:rsidRPr="00D216A1">
        <w:rPr>
          <w:szCs w:val="24"/>
        </w:rPr>
        <w:t>c) anulação parcial ou total de dotações orçamentárias, nos termos do inciso III do §1º do art. 43 da Lei Federal nº 4.320, de 17 de março de 1964;</w:t>
      </w:r>
    </w:p>
    <w:p w14:paraId="6278E8EC" w14:textId="77777777" w:rsidR="00D42727" w:rsidRPr="00D216A1" w:rsidRDefault="00D42727" w:rsidP="00D42727">
      <w:pPr>
        <w:spacing w:after="0" w:line="240" w:lineRule="auto"/>
        <w:rPr>
          <w:szCs w:val="24"/>
        </w:rPr>
      </w:pPr>
      <w:r w:rsidRPr="00D216A1">
        <w:rPr>
          <w:szCs w:val="24"/>
        </w:rPr>
        <w:t>d) reserva de Contingência.</w:t>
      </w:r>
    </w:p>
    <w:p w14:paraId="538CA124" w14:textId="77777777" w:rsidR="00D42727" w:rsidRPr="00D216A1" w:rsidRDefault="00D42727" w:rsidP="00D42727">
      <w:pPr>
        <w:spacing w:after="0" w:line="240" w:lineRule="auto"/>
        <w:rPr>
          <w:szCs w:val="24"/>
        </w:rPr>
      </w:pPr>
    </w:p>
    <w:p w14:paraId="550EC223" w14:textId="77777777" w:rsidR="00D42727" w:rsidRPr="00D216A1" w:rsidRDefault="00D42727" w:rsidP="00D42727">
      <w:pPr>
        <w:spacing w:after="0" w:line="240" w:lineRule="auto"/>
        <w:rPr>
          <w:szCs w:val="24"/>
        </w:rPr>
      </w:pPr>
      <w:r w:rsidRPr="00D216A1">
        <w:rPr>
          <w:szCs w:val="24"/>
        </w:rPr>
        <w:tab/>
      </w:r>
      <w:r w:rsidRPr="00D216A1">
        <w:rPr>
          <w:szCs w:val="24"/>
        </w:rPr>
        <w:tab/>
        <w:t>II – Reabrir os saldos orçamentários decorrentes dos créditos adicionais especiais abertos no último quadrimestre de 2025, nos termos do art. 45 da Lei 4.320/1964 c/c o art. 167, §2° da Constituição Federal;</w:t>
      </w:r>
    </w:p>
    <w:p w14:paraId="323A8D4F" w14:textId="77777777" w:rsidR="00D42727" w:rsidRPr="00D216A1" w:rsidRDefault="00D42727" w:rsidP="00D42727">
      <w:pPr>
        <w:spacing w:after="0" w:line="240" w:lineRule="auto"/>
        <w:rPr>
          <w:szCs w:val="24"/>
        </w:rPr>
      </w:pPr>
    </w:p>
    <w:p w14:paraId="0B4BEC50" w14:textId="77777777" w:rsidR="00D42727" w:rsidRPr="00D216A1" w:rsidRDefault="00D42727" w:rsidP="00D42727">
      <w:pPr>
        <w:spacing w:after="0" w:line="240" w:lineRule="auto"/>
        <w:rPr>
          <w:szCs w:val="24"/>
        </w:rPr>
      </w:pPr>
      <w:r w:rsidRPr="00D216A1">
        <w:rPr>
          <w:szCs w:val="24"/>
        </w:rPr>
        <w:tab/>
      </w:r>
      <w:r w:rsidRPr="00D216A1">
        <w:rPr>
          <w:szCs w:val="24"/>
        </w:rPr>
        <w:tab/>
        <w:t>§1º - A autorização prevista no inciso I deste artigo é limitada a 35% (trinta cinco por cento) do valor total fixado para as despesas do exercício de 2026, conforme dispõe o §8º do artigo 165 da Constituição Federal, e do art. 7º, I, da Lei 4.320/1964.</w:t>
      </w:r>
    </w:p>
    <w:p w14:paraId="7AB58004" w14:textId="77777777" w:rsidR="00D42727" w:rsidRPr="00D216A1" w:rsidRDefault="00D42727" w:rsidP="00D42727">
      <w:pPr>
        <w:spacing w:after="0" w:line="240" w:lineRule="auto"/>
        <w:rPr>
          <w:szCs w:val="24"/>
        </w:rPr>
      </w:pPr>
    </w:p>
    <w:p w14:paraId="1FFD1A2F" w14:textId="77777777" w:rsidR="00D42727" w:rsidRPr="00D216A1" w:rsidRDefault="00D42727" w:rsidP="00D42727">
      <w:pPr>
        <w:pStyle w:val="SemEspaamento"/>
        <w:jc w:val="both"/>
        <w:rPr>
          <w:rFonts w:ascii="Times New Roman" w:hAnsi="Times New Roman"/>
          <w:sz w:val="24"/>
          <w:szCs w:val="24"/>
        </w:rPr>
      </w:pPr>
      <w:r w:rsidRPr="00D216A1">
        <w:rPr>
          <w:rFonts w:ascii="Times New Roman" w:hAnsi="Times New Roman"/>
          <w:sz w:val="24"/>
          <w:szCs w:val="24"/>
        </w:rPr>
        <w:tab/>
      </w:r>
      <w:r w:rsidRPr="00D216A1">
        <w:rPr>
          <w:rFonts w:ascii="Times New Roman" w:hAnsi="Times New Roman"/>
          <w:sz w:val="24"/>
          <w:szCs w:val="24"/>
        </w:rPr>
        <w:tab/>
        <w:t>§2º - O Excesso de arrecadação decorrente do ingresso de recursos vinculados, oriundos de convênios, contratos de repasses, auxílios, contribuições, transferências fundo a fundo, transferências especiais, outros instrumentos congêneres ou outra forma de captação, oriundos de outras esferas de governo ou entidade, não previstos no orçamento, ou previsto a menor, poderão ser utilizados como fontes para abertura de créditos adicionais especiais ou suplementares, mediante ato do Executivo Municipal, esses valores não serão computados no limite de que trata o §1º deste artigo, podendo ser abertos com cobertura dos próprios recursos que lhe deram causa.</w:t>
      </w:r>
    </w:p>
    <w:p w14:paraId="4BE232F2" w14:textId="77777777" w:rsidR="00D42727" w:rsidRPr="00D216A1" w:rsidRDefault="00D42727" w:rsidP="00D42727">
      <w:pPr>
        <w:pStyle w:val="SemEspaamento"/>
        <w:jc w:val="both"/>
        <w:rPr>
          <w:rFonts w:ascii="Times New Roman" w:hAnsi="Times New Roman"/>
          <w:sz w:val="24"/>
          <w:szCs w:val="24"/>
        </w:rPr>
      </w:pPr>
    </w:p>
    <w:p w14:paraId="3FC95EC2" w14:textId="77777777" w:rsidR="00D42727" w:rsidRPr="00D216A1" w:rsidRDefault="00D42727" w:rsidP="00D42727">
      <w:pPr>
        <w:pStyle w:val="SemEspaamento"/>
        <w:jc w:val="both"/>
        <w:rPr>
          <w:rFonts w:ascii="Times New Roman" w:hAnsi="Times New Roman"/>
          <w:sz w:val="24"/>
          <w:szCs w:val="24"/>
        </w:rPr>
      </w:pPr>
      <w:r w:rsidRPr="00D216A1">
        <w:rPr>
          <w:rFonts w:ascii="Times New Roman" w:hAnsi="Times New Roman"/>
          <w:sz w:val="24"/>
          <w:szCs w:val="24"/>
        </w:rPr>
        <w:tab/>
      </w:r>
      <w:r w:rsidRPr="00D216A1">
        <w:rPr>
          <w:rFonts w:ascii="Times New Roman" w:hAnsi="Times New Roman"/>
          <w:sz w:val="24"/>
          <w:szCs w:val="24"/>
        </w:rPr>
        <w:tab/>
        <w:t>§3º - A movimentação de crédito dentro do mesmo Grupo de Natureza da Despesa e da mesma Modalidade de Aplicação, no âmbito do mesmo órgão, não serão computados no limite de que trata o §1º deste artigo. Poderá ser feita através de Portaria do Prefeito Municipal no âmbito do Poder Executivo e por Portaria Legislativo do Presidente da Câmara no âmbito do Poder Legislativo.</w:t>
      </w:r>
    </w:p>
    <w:p w14:paraId="2B450115" w14:textId="77777777" w:rsidR="00D42727" w:rsidRPr="00D216A1" w:rsidRDefault="00D42727" w:rsidP="00D42727">
      <w:pPr>
        <w:pStyle w:val="SemEspaamento"/>
        <w:jc w:val="both"/>
        <w:rPr>
          <w:rFonts w:ascii="Times New Roman" w:hAnsi="Times New Roman"/>
          <w:sz w:val="24"/>
          <w:szCs w:val="24"/>
        </w:rPr>
      </w:pPr>
    </w:p>
    <w:p w14:paraId="11475CD9" w14:textId="77777777" w:rsidR="00D42727" w:rsidRPr="00D216A1" w:rsidRDefault="00D42727" w:rsidP="00D42727">
      <w:pPr>
        <w:spacing w:after="0" w:line="240" w:lineRule="auto"/>
        <w:rPr>
          <w:szCs w:val="24"/>
        </w:rPr>
      </w:pPr>
      <w:r w:rsidRPr="00D216A1">
        <w:rPr>
          <w:szCs w:val="24"/>
        </w:rPr>
        <w:tab/>
      </w:r>
      <w:r w:rsidRPr="00D216A1">
        <w:rPr>
          <w:szCs w:val="24"/>
        </w:rPr>
        <w:tab/>
        <w:t>Art. 7° - excetua-se do limite autorizado no §1º do art. 6º desta Lei, quando o crédito se destinar a:</w:t>
      </w:r>
    </w:p>
    <w:p w14:paraId="79C1989E" w14:textId="77777777" w:rsidR="00D42727" w:rsidRPr="00D216A1" w:rsidRDefault="00D42727" w:rsidP="00D42727">
      <w:pPr>
        <w:spacing w:after="0" w:line="240" w:lineRule="auto"/>
        <w:rPr>
          <w:szCs w:val="24"/>
        </w:rPr>
      </w:pPr>
    </w:p>
    <w:p w14:paraId="1308D08D" w14:textId="77777777" w:rsidR="00D42727" w:rsidRPr="00D216A1" w:rsidRDefault="00D42727" w:rsidP="00D42727">
      <w:pPr>
        <w:spacing w:after="0" w:line="240" w:lineRule="auto"/>
        <w:rPr>
          <w:szCs w:val="24"/>
        </w:rPr>
      </w:pPr>
      <w:r w:rsidRPr="00D216A1">
        <w:rPr>
          <w:szCs w:val="24"/>
        </w:rPr>
        <w:tab/>
      </w:r>
      <w:r w:rsidRPr="00D216A1">
        <w:rPr>
          <w:szCs w:val="24"/>
        </w:rPr>
        <w:tab/>
        <w:t xml:space="preserve">I - </w:t>
      </w:r>
      <w:proofErr w:type="gramStart"/>
      <w:r w:rsidRPr="00D216A1">
        <w:rPr>
          <w:szCs w:val="24"/>
        </w:rPr>
        <w:t>atender</w:t>
      </w:r>
      <w:proofErr w:type="gramEnd"/>
      <w:r w:rsidRPr="00D216A1">
        <w:rPr>
          <w:szCs w:val="24"/>
        </w:rPr>
        <w:t xml:space="preserve"> à insuficiência de dotações do grupo Pessoal e Encargos Sociais, mediante a utilização de recursos oriundos de anulação de despesa consignada ao mesmo Grupo de Natureza de Despesa/Modalidade de Aplicação;</w:t>
      </w:r>
    </w:p>
    <w:p w14:paraId="54355B1B" w14:textId="77777777" w:rsidR="00D42727" w:rsidRPr="00D216A1" w:rsidRDefault="00D42727" w:rsidP="00D42727">
      <w:pPr>
        <w:spacing w:after="0" w:line="240" w:lineRule="auto"/>
        <w:rPr>
          <w:szCs w:val="24"/>
        </w:rPr>
      </w:pPr>
      <w:r w:rsidRPr="00D216A1">
        <w:rPr>
          <w:szCs w:val="24"/>
        </w:rPr>
        <w:tab/>
      </w:r>
      <w:r w:rsidRPr="00D216A1">
        <w:rPr>
          <w:szCs w:val="24"/>
        </w:rPr>
        <w:tab/>
        <w:t xml:space="preserve">II - </w:t>
      </w:r>
      <w:proofErr w:type="gramStart"/>
      <w:r w:rsidRPr="00D216A1">
        <w:rPr>
          <w:szCs w:val="24"/>
        </w:rPr>
        <w:t>atender</w:t>
      </w:r>
      <w:proofErr w:type="gramEnd"/>
      <w:r w:rsidRPr="00D216A1">
        <w:rPr>
          <w:szCs w:val="24"/>
        </w:rPr>
        <w:t xml:space="preserve"> à insuficiência de dotações de sentenças judiciais, precatórios e </w:t>
      </w:r>
      <w:proofErr w:type="spellStart"/>
      <w:r w:rsidRPr="00D216A1">
        <w:rPr>
          <w:szCs w:val="24"/>
        </w:rPr>
        <w:t>RPVs</w:t>
      </w:r>
      <w:proofErr w:type="spellEnd"/>
      <w:r w:rsidRPr="00D216A1">
        <w:rPr>
          <w:szCs w:val="24"/>
        </w:rPr>
        <w:t>, mediante a utilização de recursos oriundos de anulação de despesa consignada ao mesmo Grupo de Natureza de Despesa/Modalidade de Aplicação;</w:t>
      </w:r>
    </w:p>
    <w:p w14:paraId="1DF50941" w14:textId="77777777" w:rsidR="00D42727" w:rsidRPr="00D216A1" w:rsidRDefault="00D42727" w:rsidP="00D42727">
      <w:pPr>
        <w:spacing w:after="0" w:line="240" w:lineRule="auto"/>
        <w:rPr>
          <w:szCs w:val="24"/>
        </w:rPr>
      </w:pPr>
      <w:r w:rsidRPr="00D216A1">
        <w:rPr>
          <w:szCs w:val="24"/>
        </w:rPr>
        <w:tab/>
      </w:r>
      <w:r w:rsidRPr="00D216A1">
        <w:rPr>
          <w:szCs w:val="24"/>
        </w:rPr>
        <w:tab/>
        <w:t>III - atender à insuficiência de dotações de amortização da dívida, mediante a utilização de recursos oriundos de anulação de despesa consignada ao mesmo Grupo de Natureza de Despesa/Modalidade de Aplicação;</w:t>
      </w:r>
      <w:r w:rsidRPr="00D216A1">
        <w:rPr>
          <w:szCs w:val="24"/>
        </w:rPr>
        <w:cr/>
      </w:r>
    </w:p>
    <w:p w14:paraId="5C70D269" w14:textId="77777777" w:rsidR="00D42727" w:rsidRPr="00D216A1" w:rsidRDefault="00D42727" w:rsidP="00D42727">
      <w:pPr>
        <w:autoSpaceDE w:val="0"/>
        <w:autoSpaceDN w:val="0"/>
        <w:adjustRightInd w:val="0"/>
        <w:spacing w:after="0" w:line="240" w:lineRule="auto"/>
        <w:jc w:val="center"/>
        <w:rPr>
          <w:b/>
          <w:szCs w:val="24"/>
        </w:rPr>
      </w:pPr>
      <w:r w:rsidRPr="00D216A1">
        <w:rPr>
          <w:b/>
          <w:szCs w:val="24"/>
        </w:rPr>
        <w:t>CAPÍTULO II</w:t>
      </w:r>
    </w:p>
    <w:p w14:paraId="6F44F124" w14:textId="77777777" w:rsidR="00D42727" w:rsidRPr="00D216A1" w:rsidRDefault="00D42727" w:rsidP="00D42727">
      <w:pPr>
        <w:spacing w:after="0" w:line="240" w:lineRule="auto"/>
        <w:jc w:val="center"/>
        <w:rPr>
          <w:b/>
          <w:szCs w:val="24"/>
        </w:rPr>
      </w:pPr>
      <w:r w:rsidRPr="00D216A1">
        <w:rPr>
          <w:b/>
          <w:szCs w:val="24"/>
        </w:rPr>
        <w:t>DA CONTRATAÇÃO DE OPERAÇÕES DE CRÉDITO</w:t>
      </w:r>
    </w:p>
    <w:p w14:paraId="42E3DA9A" w14:textId="77777777" w:rsidR="00D42727" w:rsidRPr="00D216A1" w:rsidRDefault="00D42727" w:rsidP="00D42727">
      <w:pPr>
        <w:spacing w:after="0" w:line="240" w:lineRule="auto"/>
        <w:rPr>
          <w:szCs w:val="24"/>
        </w:rPr>
      </w:pPr>
    </w:p>
    <w:p w14:paraId="3A462EC5" w14:textId="77777777" w:rsidR="00D42727" w:rsidRPr="00D216A1" w:rsidRDefault="00D42727" w:rsidP="00D42727">
      <w:pPr>
        <w:spacing w:after="0" w:line="240" w:lineRule="auto"/>
        <w:rPr>
          <w:szCs w:val="24"/>
        </w:rPr>
      </w:pPr>
      <w:r w:rsidRPr="00D216A1">
        <w:rPr>
          <w:szCs w:val="24"/>
        </w:rPr>
        <w:tab/>
      </w:r>
      <w:r w:rsidRPr="00D216A1">
        <w:rPr>
          <w:szCs w:val="24"/>
        </w:rPr>
        <w:tab/>
        <w:t>Art. 8° - O Poder Executivo fica autorizado a contratação de operações de crédito, em cumprimento ao disposto no art. 32, §1º, Inciso I, da Lei Complementar nº 101/2000.</w:t>
      </w:r>
    </w:p>
    <w:p w14:paraId="317D19D4" w14:textId="77777777" w:rsidR="00D42727" w:rsidRPr="00D216A1" w:rsidRDefault="00D42727" w:rsidP="00D42727">
      <w:pPr>
        <w:spacing w:after="0" w:line="240" w:lineRule="auto"/>
        <w:rPr>
          <w:szCs w:val="24"/>
        </w:rPr>
      </w:pPr>
    </w:p>
    <w:p w14:paraId="2754A0D3" w14:textId="77777777" w:rsidR="00D42727" w:rsidRPr="00D216A1" w:rsidRDefault="00D42727" w:rsidP="00D42727">
      <w:pPr>
        <w:spacing w:after="0" w:line="240" w:lineRule="auto"/>
        <w:rPr>
          <w:szCs w:val="24"/>
        </w:rPr>
      </w:pPr>
      <w:r w:rsidRPr="00D216A1">
        <w:rPr>
          <w:szCs w:val="24"/>
        </w:rPr>
        <w:lastRenderedPageBreak/>
        <w:tab/>
      </w:r>
      <w:r w:rsidRPr="00D216A1">
        <w:rPr>
          <w:szCs w:val="24"/>
        </w:rPr>
        <w:tab/>
        <w:t>Art. 9º - O Poder Executivo fica autorizado a realizar Operações de Crédito por antecipação da Receita, até o valor fixado nesta Lei, de acordo com Resolução n° 078, de 01 de julho de 1998, do Senado Federal e alterada pela Resolução 043/2001.</w:t>
      </w:r>
    </w:p>
    <w:p w14:paraId="74AA8B14" w14:textId="77777777" w:rsidR="00D42727" w:rsidRPr="00D216A1" w:rsidRDefault="00D42727" w:rsidP="00D42727">
      <w:pPr>
        <w:spacing w:after="0" w:line="240" w:lineRule="auto"/>
        <w:rPr>
          <w:szCs w:val="24"/>
        </w:rPr>
      </w:pPr>
    </w:p>
    <w:p w14:paraId="4DA66298" w14:textId="77777777" w:rsidR="00D42727" w:rsidRPr="00D216A1" w:rsidRDefault="00D42727" w:rsidP="00D42727">
      <w:pPr>
        <w:spacing w:after="0" w:line="240" w:lineRule="auto"/>
        <w:jc w:val="center"/>
        <w:rPr>
          <w:b/>
          <w:szCs w:val="24"/>
        </w:rPr>
      </w:pPr>
      <w:r w:rsidRPr="00D216A1">
        <w:rPr>
          <w:b/>
          <w:szCs w:val="24"/>
        </w:rPr>
        <w:t>TÍTULO IV</w:t>
      </w:r>
    </w:p>
    <w:p w14:paraId="03214374" w14:textId="77777777" w:rsidR="00D42727" w:rsidRPr="00D216A1" w:rsidRDefault="00D42727" w:rsidP="00D42727">
      <w:pPr>
        <w:spacing w:after="0" w:line="240" w:lineRule="auto"/>
        <w:jc w:val="center"/>
        <w:rPr>
          <w:b/>
          <w:szCs w:val="24"/>
        </w:rPr>
      </w:pPr>
      <w:r w:rsidRPr="00D216A1">
        <w:rPr>
          <w:b/>
          <w:szCs w:val="24"/>
        </w:rPr>
        <w:t>EMENDAS PARLAMENTARES INDIVIDUAIS</w:t>
      </w:r>
    </w:p>
    <w:p w14:paraId="2E2571A3" w14:textId="77777777" w:rsidR="00D42727" w:rsidRPr="00D216A1" w:rsidRDefault="00D42727" w:rsidP="00D42727">
      <w:pPr>
        <w:spacing w:after="0" w:line="240" w:lineRule="auto"/>
        <w:rPr>
          <w:szCs w:val="24"/>
        </w:rPr>
      </w:pPr>
    </w:p>
    <w:p w14:paraId="6D855268" w14:textId="77777777" w:rsidR="00D42727" w:rsidRPr="00D216A1" w:rsidRDefault="00D42727" w:rsidP="00D42727">
      <w:pPr>
        <w:spacing w:after="0" w:line="240" w:lineRule="auto"/>
        <w:rPr>
          <w:szCs w:val="24"/>
        </w:rPr>
      </w:pPr>
      <w:r w:rsidRPr="00D216A1">
        <w:rPr>
          <w:szCs w:val="24"/>
        </w:rPr>
        <w:tab/>
      </w:r>
      <w:r w:rsidRPr="00D216A1">
        <w:rPr>
          <w:szCs w:val="24"/>
        </w:rPr>
        <w:tab/>
        <w:t>Art. 10 - É obrigatório a execução orçamentária e financeira da programação incluída por emendas individuais do Legislativo Municipal em Lei Orçamentária Anual.</w:t>
      </w:r>
    </w:p>
    <w:p w14:paraId="2EB7489B" w14:textId="77777777" w:rsidR="00D42727" w:rsidRPr="00D216A1" w:rsidRDefault="00D42727" w:rsidP="00D42727">
      <w:pPr>
        <w:spacing w:after="0" w:line="240" w:lineRule="auto"/>
        <w:rPr>
          <w:szCs w:val="24"/>
        </w:rPr>
      </w:pPr>
    </w:p>
    <w:p w14:paraId="486940A5" w14:textId="77777777" w:rsidR="00D42727" w:rsidRPr="00D216A1" w:rsidRDefault="00D42727" w:rsidP="00D42727">
      <w:pPr>
        <w:spacing w:after="0" w:line="240" w:lineRule="auto"/>
        <w:rPr>
          <w:szCs w:val="24"/>
        </w:rPr>
      </w:pPr>
      <w:r w:rsidRPr="00D216A1">
        <w:rPr>
          <w:szCs w:val="24"/>
        </w:rPr>
        <w:tab/>
      </w:r>
      <w:r w:rsidRPr="00D216A1">
        <w:rPr>
          <w:szCs w:val="24"/>
        </w:rPr>
        <w:tab/>
        <w:t>§1º - As emendas individuais ao projeto de lei orçamentária serão aprovadas no limite de 1,2% (um virgula dois por cento) da receita corrente líquida realizada no exercício anterior, percentual distribuído equitativamente dentre os vereadores, sendo que a metade deste percentual deverá ser destinada a ações e serviços públicos de saúde.</w:t>
      </w:r>
    </w:p>
    <w:p w14:paraId="08E1C7B8" w14:textId="77777777" w:rsidR="00D42727" w:rsidRPr="00D216A1" w:rsidRDefault="00D42727" w:rsidP="00D42727">
      <w:pPr>
        <w:spacing w:after="0" w:line="240" w:lineRule="auto"/>
        <w:rPr>
          <w:szCs w:val="24"/>
        </w:rPr>
      </w:pPr>
    </w:p>
    <w:p w14:paraId="58B7A626" w14:textId="77777777" w:rsidR="00D42727" w:rsidRPr="00D216A1" w:rsidRDefault="00D42727" w:rsidP="00D42727">
      <w:pPr>
        <w:spacing w:after="0" w:line="240" w:lineRule="auto"/>
        <w:rPr>
          <w:szCs w:val="24"/>
        </w:rPr>
      </w:pPr>
      <w:r w:rsidRPr="00D216A1">
        <w:rPr>
          <w:szCs w:val="24"/>
        </w:rPr>
        <w:tab/>
      </w:r>
      <w:r w:rsidRPr="00D216A1">
        <w:rPr>
          <w:szCs w:val="24"/>
        </w:rPr>
        <w:tab/>
        <w:t xml:space="preserve">§2º - As emendas individuais ao projeto de lei orçamentária somente poderão ser </w:t>
      </w:r>
      <w:proofErr w:type="gramStart"/>
      <w:r w:rsidRPr="00D216A1">
        <w:rPr>
          <w:szCs w:val="24"/>
        </w:rPr>
        <w:t>aprovados</w:t>
      </w:r>
      <w:proofErr w:type="gramEnd"/>
      <w:r w:rsidRPr="00D216A1">
        <w:rPr>
          <w:szCs w:val="24"/>
        </w:rPr>
        <w:t xml:space="preserve"> quando: </w:t>
      </w:r>
    </w:p>
    <w:p w14:paraId="186DE483" w14:textId="77777777" w:rsidR="00D42727" w:rsidRPr="00D216A1" w:rsidRDefault="00D42727" w:rsidP="00D42727">
      <w:pPr>
        <w:spacing w:after="0" w:line="240" w:lineRule="auto"/>
        <w:rPr>
          <w:szCs w:val="24"/>
        </w:rPr>
      </w:pPr>
    </w:p>
    <w:p w14:paraId="4AE42DDC" w14:textId="77777777" w:rsidR="00D42727" w:rsidRPr="00D216A1" w:rsidRDefault="00D42727" w:rsidP="00D42727">
      <w:pPr>
        <w:spacing w:after="0" w:line="240" w:lineRule="auto"/>
        <w:rPr>
          <w:szCs w:val="24"/>
        </w:rPr>
      </w:pPr>
      <w:r w:rsidRPr="00D216A1">
        <w:rPr>
          <w:szCs w:val="24"/>
        </w:rPr>
        <w:tab/>
      </w:r>
      <w:r w:rsidRPr="00D216A1">
        <w:rPr>
          <w:szCs w:val="24"/>
        </w:rPr>
        <w:tab/>
        <w:t xml:space="preserve">I - </w:t>
      </w:r>
      <w:proofErr w:type="gramStart"/>
      <w:r w:rsidRPr="00D216A1">
        <w:rPr>
          <w:szCs w:val="24"/>
        </w:rPr>
        <w:t>compatíveis</w:t>
      </w:r>
      <w:proofErr w:type="gramEnd"/>
      <w:r w:rsidRPr="00D216A1">
        <w:rPr>
          <w:szCs w:val="24"/>
        </w:rPr>
        <w:t xml:space="preserve"> com o plano plurianual e com a lei de diretrizes orçamentarias;</w:t>
      </w:r>
    </w:p>
    <w:p w14:paraId="2EC03A92" w14:textId="77777777" w:rsidR="00D42727" w:rsidRPr="00D216A1" w:rsidRDefault="00D42727" w:rsidP="00D42727">
      <w:pPr>
        <w:spacing w:after="0" w:line="240" w:lineRule="auto"/>
        <w:rPr>
          <w:szCs w:val="24"/>
        </w:rPr>
      </w:pPr>
      <w:r w:rsidRPr="00D216A1">
        <w:rPr>
          <w:szCs w:val="24"/>
        </w:rPr>
        <w:tab/>
      </w:r>
      <w:r w:rsidRPr="00D216A1">
        <w:rPr>
          <w:szCs w:val="24"/>
        </w:rPr>
        <w:tab/>
        <w:t xml:space="preserve">II - </w:t>
      </w:r>
      <w:proofErr w:type="gramStart"/>
      <w:r w:rsidRPr="00D216A1">
        <w:rPr>
          <w:szCs w:val="24"/>
        </w:rPr>
        <w:t>indiquem</w:t>
      </w:r>
      <w:proofErr w:type="gramEnd"/>
      <w:r w:rsidRPr="00D216A1">
        <w:rPr>
          <w:szCs w:val="24"/>
        </w:rPr>
        <w:t xml:space="preserve"> os recursos necessários, admitidos apenas os provenientes de anulação de despesas, excetuados as que incidem sobre:</w:t>
      </w:r>
    </w:p>
    <w:p w14:paraId="1F93D13A" w14:textId="77777777" w:rsidR="00D42727" w:rsidRPr="00D216A1" w:rsidRDefault="00D42727" w:rsidP="00D42727">
      <w:pPr>
        <w:spacing w:after="0" w:line="240" w:lineRule="auto"/>
        <w:rPr>
          <w:szCs w:val="24"/>
        </w:rPr>
      </w:pPr>
    </w:p>
    <w:p w14:paraId="04CE5DEA" w14:textId="77777777" w:rsidR="00D42727" w:rsidRPr="00D216A1" w:rsidRDefault="00D42727" w:rsidP="00D42727">
      <w:pPr>
        <w:spacing w:after="0" w:line="240" w:lineRule="auto"/>
        <w:rPr>
          <w:szCs w:val="24"/>
        </w:rPr>
      </w:pPr>
      <w:r w:rsidRPr="00D216A1">
        <w:rPr>
          <w:szCs w:val="24"/>
        </w:rPr>
        <w:t>a) dotação para pessoal e seus encargos;</w:t>
      </w:r>
    </w:p>
    <w:p w14:paraId="7BF58430" w14:textId="77777777" w:rsidR="00D42727" w:rsidRPr="00D216A1" w:rsidRDefault="00D42727" w:rsidP="00D42727">
      <w:pPr>
        <w:spacing w:after="0" w:line="240" w:lineRule="auto"/>
        <w:rPr>
          <w:szCs w:val="24"/>
        </w:rPr>
      </w:pPr>
      <w:r w:rsidRPr="00D216A1">
        <w:rPr>
          <w:szCs w:val="24"/>
        </w:rPr>
        <w:t>b) serviços de dívidas;</w:t>
      </w:r>
    </w:p>
    <w:p w14:paraId="14DD2FC2" w14:textId="77777777" w:rsidR="00D42727" w:rsidRPr="00D216A1" w:rsidRDefault="00D42727" w:rsidP="00D42727">
      <w:pPr>
        <w:spacing w:after="0" w:line="240" w:lineRule="auto"/>
        <w:rPr>
          <w:szCs w:val="24"/>
        </w:rPr>
      </w:pPr>
      <w:r w:rsidRPr="00D216A1">
        <w:rPr>
          <w:szCs w:val="24"/>
        </w:rPr>
        <w:t>c) transferências tributárias para autarquias e fundações instituídas e mantidas do poder público municipal.</w:t>
      </w:r>
    </w:p>
    <w:p w14:paraId="047DE4F2" w14:textId="77777777" w:rsidR="00D42727" w:rsidRPr="00D216A1" w:rsidRDefault="00D42727" w:rsidP="00D42727">
      <w:pPr>
        <w:spacing w:after="0" w:line="240" w:lineRule="auto"/>
        <w:rPr>
          <w:szCs w:val="24"/>
        </w:rPr>
      </w:pPr>
    </w:p>
    <w:p w14:paraId="6CC4C59E" w14:textId="77777777" w:rsidR="00D42727" w:rsidRPr="00D216A1" w:rsidRDefault="00D42727" w:rsidP="00D42727">
      <w:pPr>
        <w:spacing w:after="0" w:line="240" w:lineRule="auto"/>
        <w:rPr>
          <w:szCs w:val="24"/>
        </w:rPr>
      </w:pPr>
      <w:r w:rsidRPr="00D216A1">
        <w:rPr>
          <w:szCs w:val="24"/>
        </w:rPr>
        <w:tab/>
      </w:r>
      <w:r w:rsidRPr="00D216A1">
        <w:rPr>
          <w:szCs w:val="24"/>
        </w:rPr>
        <w:tab/>
        <w:t xml:space="preserve">§3º - As programações orçamentárias previstas no caput deste artigo não serão de execução obrigatória nos casos de impedimentos de ordem técnica. </w:t>
      </w:r>
    </w:p>
    <w:p w14:paraId="53DE36F5" w14:textId="77777777" w:rsidR="00D42727" w:rsidRPr="00D216A1" w:rsidRDefault="00D42727" w:rsidP="00D42727">
      <w:pPr>
        <w:spacing w:after="0" w:line="240" w:lineRule="auto"/>
        <w:rPr>
          <w:szCs w:val="24"/>
        </w:rPr>
      </w:pPr>
    </w:p>
    <w:p w14:paraId="0EEF38E3" w14:textId="77777777" w:rsidR="00D42727" w:rsidRPr="00D216A1" w:rsidRDefault="00D42727" w:rsidP="00D42727">
      <w:pPr>
        <w:spacing w:after="0" w:line="240" w:lineRule="auto"/>
        <w:jc w:val="center"/>
        <w:rPr>
          <w:b/>
          <w:szCs w:val="24"/>
        </w:rPr>
      </w:pPr>
      <w:r w:rsidRPr="00D216A1">
        <w:rPr>
          <w:b/>
          <w:szCs w:val="24"/>
        </w:rPr>
        <w:t>TÍTULO V</w:t>
      </w:r>
    </w:p>
    <w:p w14:paraId="0A6614D1" w14:textId="77777777" w:rsidR="00D42727" w:rsidRPr="00D216A1" w:rsidRDefault="00D42727" w:rsidP="00D42727">
      <w:pPr>
        <w:spacing w:after="0" w:line="240" w:lineRule="auto"/>
        <w:jc w:val="center"/>
        <w:rPr>
          <w:b/>
          <w:szCs w:val="24"/>
        </w:rPr>
      </w:pPr>
      <w:r w:rsidRPr="00D216A1">
        <w:rPr>
          <w:b/>
          <w:szCs w:val="24"/>
        </w:rPr>
        <w:t>DISPOSIÇÕES FINAIS</w:t>
      </w:r>
    </w:p>
    <w:p w14:paraId="093939D2" w14:textId="77777777" w:rsidR="00D42727" w:rsidRPr="00D216A1" w:rsidRDefault="00D42727" w:rsidP="00D42727">
      <w:pPr>
        <w:spacing w:after="0" w:line="240" w:lineRule="auto"/>
        <w:jc w:val="center"/>
        <w:rPr>
          <w:b/>
          <w:szCs w:val="24"/>
        </w:rPr>
      </w:pPr>
    </w:p>
    <w:p w14:paraId="736BE0FD" w14:textId="77777777" w:rsidR="00D42727" w:rsidRPr="00D216A1" w:rsidRDefault="00D42727" w:rsidP="00D42727">
      <w:pPr>
        <w:spacing w:after="0" w:line="240" w:lineRule="auto"/>
        <w:rPr>
          <w:rFonts w:eastAsia="Calibri"/>
          <w:szCs w:val="24"/>
        </w:rPr>
      </w:pPr>
      <w:r w:rsidRPr="00D216A1">
        <w:rPr>
          <w:rFonts w:eastAsia="Calibri"/>
          <w:szCs w:val="24"/>
        </w:rPr>
        <w:tab/>
      </w:r>
      <w:r w:rsidRPr="00D216A1">
        <w:rPr>
          <w:rFonts w:eastAsia="Calibri"/>
          <w:szCs w:val="24"/>
        </w:rPr>
        <w:tab/>
        <w:t>Art. 11 - Havendo o comprometimento do cumprimento das metas de resultado primário e nominal, por uma insuficiente realização de receita, o Poder Executivo promoverá redução nas suas despesas, nos termos do artigo 9º da Lei Complementar Nº 101, de 04 de maio de 2000, fixando por atos próprios, limitações ao empenhamento da despesa e movimentação, incidindo, prioritariamente, sobre os seguintes tipos de despesas, pela ordem mencionada:</w:t>
      </w:r>
    </w:p>
    <w:p w14:paraId="0CA3307E" w14:textId="77777777" w:rsidR="00D42727" w:rsidRPr="00D216A1" w:rsidRDefault="00D42727" w:rsidP="00D42727">
      <w:pPr>
        <w:spacing w:after="0" w:line="240" w:lineRule="auto"/>
        <w:rPr>
          <w:rFonts w:eastAsia="Calibri"/>
          <w:szCs w:val="24"/>
        </w:rPr>
      </w:pPr>
    </w:p>
    <w:p w14:paraId="6B87F882"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Despesas com diárias e passagens aéreas e terrestres; </w:t>
      </w:r>
    </w:p>
    <w:p w14:paraId="5A558FE8"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Despesas a título de ajuda de custo; </w:t>
      </w:r>
    </w:p>
    <w:p w14:paraId="1F7E9AB7"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Despesas com locação de mão de obra; </w:t>
      </w:r>
    </w:p>
    <w:p w14:paraId="57021361"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Despesas com locação de veículos; </w:t>
      </w:r>
    </w:p>
    <w:p w14:paraId="05AE5339"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Despesas com combustíveis; </w:t>
      </w:r>
    </w:p>
    <w:p w14:paraId="0BBB632A"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Despesas com treinamento; </w:t>
      </w:r>
    </w:p>
    <w:p w14:paraId="2ED7F13D"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Transferências voluntárias a instituições privadas; </w:t>
      </w:r>
    </w:p>
    <w:p w14:paraId="2D4E86BB"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Outras despesas de custeio; </w:t>
      </w:r>
    </w:p>
    <w:p w14:paraId="3893780B"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lastRenderedPageBreak/>
        <w:t xml:space="preserve">Despesas com investimentos, diretas e indiretas, observando-se o princípio da materialidade; </w:t>
      </w:r>
    </w:p>
    <w:p w14:paraId="0C711C1C"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Despesas com comissionados; </w:t>
      </w:r>
    </w:p>
    <w:p w14:paraId="6A50170A"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 xml:space="preserve">Despesas com comunicação, publicidade e propaganda; </w:t>
      </w:r>
    </w:p>
    <w:p w14:paraId="1D90D5AB" w14:textId="77777777" w:rsidR="00D42727" w:rsidRPr="00D216A1" w:rsidRDefault="00D42727" w:rsidP="00D42727">
      <w:pPr>
        <w:pStyle w:val="SemEspaamento"/>
        <w:numPr>
          <w:ilvl w:val="0"/>
          <w:numId w:val="25"/>
        </w:numPr>
        <w:jc w:val="both"/>
        <w:rPr>
          <w:rFonts w:ascii="Times New Roman" w:hAnsi="Times New Roman"/>
          <w:sz w:val="24"/>
          <w:szCs w:val="24"/>
        </w:rPr>
      </w:pPr>
      <w:r w:rsidRPr="00D216A1">
        <w:rPr>
          <w:rFonts w:ascii="Times New Roman" w:hAnsi="Times New Roman"/>
          <w:sz w:val="24"/>
          <w:szCs w:val="24"/>
        </w:rPr>
        <w:t>Despesas com serviços de buffet e alimentação em restaurantes.</w:t>
      </w:r>
    </w:p>
    <w:p w14:paraId="5861BE56" w14:textId="77777777" w:rsidR="00D42727" w:rsidRPr="00D216A1" w:rsidRDefault="00D42727" w:rsidP="00D42727">
      <w:pPr>
        <w:spacing w:after="0" w:line="240" w:lineRule="auto"/>
        <w:rPr>
          <w:rFonts w:eastAsia="Calibri"/>
          <w:szCs w:val="24"/>
        </w:rPr>
      </w:pPr>
    </w:p>
    <w:p w14:paraId="38CFD271" w14:textId="77777777" w:rsidR="00D42727" w:rsidRPr="00D216A1" w:rsidRDefault="00D42727" w:rsidP="00D42727">
      <w:pPr>
        <w:autoSpaceDE w:val="0"/>
        <w:autoSpaceDN w:val="0"/>
        <w:adjustRightInd w:val="0"/>
        <w:spacing w:after="0" w:line="240" w:lineRule="auto"/>
        <w:rPr>
          <w:szCs w:val="24"/>
        </w:rPr>
      </w:pPr>
      <w:r w:rsidRPr="00D216A1">
        <w:rPr>
          <w:szCs w:val="24"/>
        </w:rPr>
        <w:tab/>
      </w:r>
      <w:r w:rsidRPr="00D216A1">
        <w:rPr>
          <w:szCs w:val="24"/>
        </w:rPr>
        <w:tab/>
        <w:t xml:space="preserve">§1º - Na hipótese de recuperação da receita realizada, a recomposição do nível de empenhamento das dotações a que se refere o </w:t>
      </w:r>
      <w:r w:rsidRPr="00D216A1">
        <w:rPr>
          <w:i/>
          <w:iCs/>
          <w:szCs w:val="24"/>
        </w:rPr>
        <w:t xml:space="preserve">Caput </w:t>
      </w:r>
      <w:r w:rsidRPr="00D216A1">
        <w:rPr>
          <w:szCs w:val="24"/>
        </w:rPr>
        <w:t>deste artigo, será feita de forma proporcional às limitações efetivadas.</w:t>
      </w:r>
    </w:p>
    <w:p w14:paraId="17C913CB" w14:textId="77777777" w:rsidR="00D42727" w:rsidRPr="00D216A1" w:rsidRDefault="00D42727" w:rsidP="00D42727">
      <w:pPr>
        <w:autoSpaceDE w:val="0"/>
        <w:autoSpaceDN w:val="0"/>
        <w:adjustRightInd w:val="0"/>
        <w:spacing w:after="0" w:line="240" w:lineRule="auto"/>
        <w:rPr>
          <w:szCs w:val="24"/>
        </w:rPr>
      </w:pPr>
    </w:p>
    <w:p w14:paraId="180904F3" w14:textId="77777777" w:rsidR="00D42727" w:rsidRPr="00D216A1" w:rsidRDefault="00D42727" w:rsidP="00D42727">
      <w:pPr>
        <w:autoSpaceDE w:val="0"/>
        <w:autoSpaceDN w:val="0"/>
        <w:adjustRightInd w:val="0"/>
        <w:spacing w:after="0" w:line="240" w:lineRule="auto"/>
        <w:rPr>
          <w:b/>
          <w:szCs w:val="24"/>
        </w:rPr>
      </w:pPr>
      <w:r w:rsidRPr="00D216A1">
        <w:rPr>
          <w:szCs w:val="24"/>
        </w:rPr>
        <w:tab/>
      </w:r>
      <w:r w:rsidRPr="00D216A1">
        <w:rPr>
          <w:szCs w:val="24"/>
        </w:rPr>
        <w:tab/>
        <w:t xml:space="preserve">§2º - Objetivando dar suporte ao que preconiza o </w:t>
      </w:r>
      <w:r w:rsidRPr="00D216A1">
        <w:rPr>
          <w:i/>
          <w:iCs/>
          <w:szCs w:val="24"/>
        </w:rPr>
        <w:t xml:space="preserve">Caput </w:t>
      </w:r>
      <w:r w:rsidRPr="00D216A1">
        <w:rPr>
          <w:szCs w:val="24"/>
        </w:rPr>
        <w:t>deste artigo, o alcance das metas fiscais deverá ser monitorado bimestralmente, conjuntamente pelos Poderes Executivo e Legislativo.</w:t>
      </w:r>
    </w:p>
    <w:p w14:paraId="2D0FAC94" w14:textId="77777777" w:rsidR="00D42727" w:rsidRPr="00D216A1" w:rsidRDefault="00D42727" w:rsidP="00D42727">
      <w:pPr>
        <w:spacing w:after="0" w:line="240" w:lineRule="auto"/>
        <w:rPr>
          <w:b/>
          <w:szCs w:val="24"/>
        </w:rPr>
      </w:pPr>
    </w:p>
    <w:p w14:paraId="4D5C7C7C" w14:textId="77777777" w:rsidR="00D42727" w:rsidRPr="00D216A1" w:rsidRDefault="00D42727" w:rsidP="00D42727">
      <w:pPr>
        <w:autoSpaceDE w:val="0"/>
        <w:autoSpaceDN w:val="0"/>
        <w:adjustRightInd w:val="0"/>
        <w:spacing w:after="0" w:line="240" w:lineRule="auto"/>
        <w:rPr>
          <w:b/>
          <w:szCs w:val="24"/>
        </w:rPr>
      </w:pPr>
      <w:r w:rsidRPr="00D216A1">
        <w:rPr>
          <w:szCs w:val="24"/>
        </w:rPr>
        <w:tab/>
      </w:r>
      <w:r w:rsidRPr="00D216A1">
        <w:rPr>
          <w:szCs w:val="24"/>
        </w:rPr>
        <w:tab/>
        <w:t xml:space="preserve">Art. 12 – Nos termos do Art. 17 da Lei Complementar nº 101/2000, e suas alterações posteriores, as despesas de caráter continuado e as despesas de Capital relativas a projetos em andamentos decorrentes de relação contratual, serão </w:t>
      </w:r>
      <w:proofErr w:type="spellStart"/>
      <w:r w:rsidRPr="00D216A1">
        <w:rPr>
          <w:szCs w:val="24"/>
        </w:rPr>
        <w:t>reempenhadas</w:t>
      </w:r>
      <w:proofErr w:type="spellEnd"/>
      <w:r w:rsidRPr="00D216A1">
        <w:rPr>
          <w:szCs w:val="24"/>
        </w:rPr>
        <w:t xml:space="preserve"> nas dotações próprias, ou em caso de inópia orçamentária, por transposição, remanejamento ou transferência de recursos.</w:t>
      </w:r>
    </w:p>
    <w:p w14:paraId="70208F44" w14:textId="77777777" w:rsidR="00D42727" w:rsidRPr="00D216A1" w:rsidRDefault="00D42727" w:rsidP="00D42727">
      <w:pPr>
        <w:spacing w:after="0" w:line="240" w:lineRule="auto"/>
        <w:rPr>
          <w:b/>
          <w:szCs w:val="24"/>
        </w:rPr>
      </w:pPr>
    </w:p>
    <w:p w14:paraId="2C2504F6" w14:textId="77777777" w:rsidR="00D42727" w:rsidRPr="00D216A1" w:rsidRDefault="00D42727" w:rsidP="00D42727">
      <w:pPr>
        <w:pStyle w:val="SemEspaamento"/>
        <w:jc w:val="both"/>
        <w:rPr>
          <w:rFonts w:ascii="Times New Roman" w:hAnsi="Times New Roman"/>
          <w:sz w:val="24"/>
          <w:szCs w:val="24"/>
        </w:rPr>
      </w:pPr>
      <w:r w:rsidRPr="00D216A1">
        <w:rPr>
          <w:rFonts w:ascii="Times New Roman" w:hAnsi="Times New Roman"/>
          <w:sz w:val="24"/>
          <w:szCs w:val="24"/>
        </w:rPr>
        <w:tab/>
      </w:r>
      <w:r w:rsidRPr="00D216A1">
        <w:rPr>
          <w:rFonts w:ascii="Times New Roman" w:hAnsi="Times New Roman"/>
          <w:sz w:val="24"/>
          <w:szCs w:val="24"/>
        </w:rPr>
        <w:tab/>
        <w:t>Art. 13 - No prazo de até 30 (trinta) dias após a publicação da Lei Orçamentária Anual, o Poder Executivo divulgará o Quadro de Detalhamento de Receitas – QDR e Quadro de Detalhamento de Despesas – QDD para o exercício de 2026.</w:t>
      </w:r>
    </w:p>
    <w:p w14:paraId="233C2284" w14:textId="77777777" w:rsidR="00D42727" w:rsidRPr="00D216A1" w:rsidRDefault="00D42727" w:rsidP="00D42727">
      <w:pPr>
        <w:pStyle w:val="SemEspaamento"/>
        <w:jc w:val="both"/>
        <w:rPr>
          <w:rFonts w:ascii="Times New Roman" w:hAnsi="Times New Roman"/>
          <w:sz w:val="24"/>
          <w:szCs w:val="24"/>
        </w:rPr>
      </w:pPr>
    </w:p>
    <w:p w14:paraId="5504F0ED" w14:textId="77777777" w:rsidR="00D42727" w:rsidRPr="00D216A1" w:rsidRDefault="00D42727" w:rsidP="00D42727">
      <w:pPr>
        <w:pStyle w:val="SemEspaamento"/>
        <w:jc w:val="both"/>
        <w:rPr>
          <w:rFonts w:ascii="Times New Roman" w:hAnsi="Times New Roman"/>
          <w:sz w:val="24"/>
          <w:szCs w:val="24"/>
        </w:rPr>
      </w:pPr>
      <w:r w:rsidRPr="00D216A1">
        <w:rPr>
          <w:rFonts w:ascii="Times New Roman" w:hAnsi="Times New Roman"/>
          <w:b/>
          <w:sz w:val="24"/>
          <w:szCs w:val="24"/>
        </w:rPr>
        <w:tab/>
      </w:r>
      <w:r w:rsidRPr="00D216A1">
        <w:rPr>
          <w:rFonts w:ascii="Times New Roman" w:hAnsi="Times New Roman"/>
          <w:b/>
          <w:sz w:val="24"/>
          <w:szCs w:val="24"/>
        </w:rPr>
        <w:tab/>
      </w:r>
      <w:r w:rsidRPr="00D216A1">
        <w:rPr>
          <w:rFonts w:ascii="Times New Roman" w:hAnsi="Times New Roman"/>
          <w:sz w:val="24"/>
          <w:szCs w:val="24"/>
        </w:rPr>
        <w:t xml:space="preserve">§1º - O Quadro de Detalhamento de Receitas – QDR, será detalhado por Categoria Econômica, Origem, Espécie, Rubrica, Alínea, </w:t>
      </w:r>
      <w:proofErr w:type="spellStart"/>
      <w:r w:rsidRPr="00D216A1">
        <w:rPr>
          <w:rFonts w:ascii="Times New Roman" w:hAnsi="Times New Roman"/>
          <w:sz w:val="24"/>
          <w:szCs w:val="24"/>
        </w:rPr>
        <w:t>Subalínea</w:t>
      </w:r>
      <w:proofErr w:type="spellEnd"/>
      <w:r w:rsidRPr="00D216A1">
        <w:rPr>
          <w:rFonts w:ascii="Times New Roman" w:hAnsi="Times New Roman"/>
          <w:sz w:val="24"/>
          <w:szCs w:val="24"/>
        </w:rPr>
        <w:t xml:space="preserve"> e fonte de recursos.</w:t>
      </w:r>
    </w:p>
    <w:p w14:paraId="399B9F2C" w14:textId="77777777" w:rsidR="00D42727" w:rsidRPr="00D216A1" w:rsidRDefault="00D42727" w:rsidP="00D42727">
      <w:pPr>
        <w:pStyle w:val="SemEspaamento"/>
        <w:jc w:val="both"/>
        <w:rPr>
          <w:rFonts w:ascii="Times New Roman" w:hAnsi="Times New Roman"/>
          <w:sz w:val="24"/>
          <w:szCs w:val="24"/>
        </w:rPr>
      </w:pPr>
    </w:p>
    <w:p w14:paraId="2236241E" w14:textId="77777777" w:rsidR="00D42727" w:rsidRPr="00D216A1" w:rsidRDefault="00D42727" w:rsidP="00D42727">
      <w:pPr>
        <w:pStyle w:val="SemEspaamento"/>
        <w:jc w:val="both"/>
        <w:rPr>
          <w:rFonts w:ascii="Times New Roman" w:hAnsi="Times New Roman"/>
          <w:sz w:val="24"/>
          <w:szCs w:val="24"/>
        </w:rPr>
      </w:pPr>
      <w:r w:rsidRPr="00D216A1">
        <w:rPr>
          <w:rFonts w:ascii="Times New Roman" w:hAnsi="Times New Roman"/>
          <w:b/>
          <w:sz w:val="24"/>
          <w:szCs w:val="24"/>
        </w:rPr>
        <w:tab/>
      </w:r>
      <w:r w:rsidRPr="00D216A1">
        <w:rPr>
          <w:rFonts w:ascii="Times New Roman" w:hAnsi="Times New Roman"/>
          <w:b/>
          <w:sz w:val="24"/>
          <w:szCs w:val="24"/>
        </w:rPr>
        <w:tab/>
      </w:r>
      <w:r w:rsidRPr="00D216A1">
        <w:rPr>
          <w:rFonts w:ascii="Times New Roman" w:hAnsi="Times New Roman"/>
          <w:sz w:val="24"/>
          <w:szCs w:val="24"/>
        </w:rPr>
        <w:t>§2º - O Quadro de Detalhamento de Despesas – QDD será detalhado por Órgão/Unidade Orçamentária, especificando para cada categoria de programação, a natureza de despesa por categoria econômica, grupo de despesa, modalidade de aplicação, elemento de despesa e fonte de recursos.</w:t>
      </w:r>
    </w:p>
    <w:p w14:paraId="1214512B" w14:textId="77777777" w:rsidR="00D42727" w:rsidRPr="00D216A1" w:rsidRDefault="00D42727" w:rsidP="00D42727">
      <w:pPr>
        <w:pStyle w:val="SemEspaamento"/>
        <w:jc w:val="both"/>
        <w:rPr>
          <w:rFonts w:ascii="Times New Roman" w:hAnsi="Times New Roman"/>
          <w:sz w:val="24"/>
          <w:szCs w:val="24"/>
        </w:rPr>
      </w:pPr>
    </w:p>
    <w:p w14:paraId="307A8FED" w14:textId="77777777" w:rsidR="00D42727" w:rsidRPr="00D216A1" w:rsidRDefault="00D42727" w:rsidP="00D42727">
      <w:pPr>
        <w:pStyle w:val="SemEspaamento"/>
        <w:jc w:val="both"/>
        <w:rPr>
          <w:rFonts w:ascii="Times New Roman" w:hAnsi="Times New Roman"/>
          <w:sz w:val="24"/>
          <w:szCs w:val="24"/>
        </w:rPr>
      </w:pPr>
      <w:r w:rsidRPr="00D216A1">
        <w:rPr>
          <w:rFonts w:ascii="Times New Roman" w:hAnsi="Times New Roman"/>
          <w:b/>
          <w:sz w:val="24"/>
          <w:szCs w:val="24"/>
        </w:rPr>
        <w:tab/>
      </w:r>
      <w:r w:rsidRPr="00D216A1">
        <w:rPr>
          <w:rFonts w:ascii="Times New Roman" w:hAnsi="Times New Roman"/>
          <w:b/>
          <w:sz w:val="24"/>
          <w:szCs w:val="24"/>
        </w:rPr>
        <w:tab/>
      </w:r>
      <w:r w:rsidRPr="00D216A1">
        <w:rPr>
          <w:rFonts w:ascii="Times New Roman" w:hAnsi="Times New Roman"/>
          <w:sz w:val="24"/>
          <w:szCs w:val="24"/>
        </w:rPr>
        <w:t xml:space="preserve">§3º - Os Quadros de Detalhamento referentes ao Poder Executivo serão elaborados na forma definida no </w:t>
      </w:r>
      <w:r w:rsidRPr="00D216A1">
        <w:rPr>
          <w:rFonts w:ascii="Times New Roman" w:hAnsi="Times New Roman"/>
          <w:i/>
          <w:iCs/>
          <w:sz w:val="24"/>
          <w:szCs w:val="24"/>
        </w:rPr>
        <w:t>Caput</w:t>
      </w:r>
      <w:r w:rsidRPr="00D216A1">
        <w:rPr>
          <w:rFonts w:ascii="Times New Roman" w:hAnsi="Times New Roman"/>
          <w:sz w:val="24"/>
          <w:szCs w:val="24"/>
        </w:rPr>
        <w:t xml:space="preserve"> e aprovados por Decreto.</w:t>
      </w:r>
    </w:p>
    <w:p w14:paraId="68F03E81" w14:textId="77777777" w:rsidR="00D42727" w:rsidRPr="00D216A1" w:rsidRDefault="00D42727" w:rsidP="00D42727">
      <w:pPr>
        <w:pStyle w:val="SemEspaamento"/>
        <w:jc w:val="both"/>
        <w:rPr>
          <w:rFonts w:ascii="Times New Roman" w:hAnsi="Times New Roman"/>
          <w:sz w:val="24"/>
          <w:szCs w:val="24"/>
        </w:rPr>
      </w:pPr>
    </w:p>
    <w:p w14:paraId="639AB8AC" w14:textId="77777777" w:rsidR="00D42727" w:rsidRPr="00D216A1" w:rsidRDefault="00D42727" w:rsidP="00D42727">
      <w:pPr>
        <w:spacing w:after="0" w:line="240" w:lineRule="auto"/>
        <w:rPr>
          <w:szCs w:val="24"/>
        </w:rPr>
      </w:pPr>
      <w:r w:rsidRPr="00D216A1">
        <w:rPr>
          <w:b/>
          <w:szCs w:val="24"/>
        </w:rPr>
        <w:tab/>
      </w:r>
      <w:r w:rsidRPr="00D216A1">
        <w:rPr>
          <w:b/>
          <w:szCs w:val="24"/>
        </w:rPr>
        <w:tab/>
      </w:r>
      <w:r w:rsidRPr="00D216A1">
        <w:rPr>
          <w:szCs w:val="24"/>
        </w:rPr>
        <w:t xml:space="preserve">§4º - O Quadro de Detalhamento da Despesa referente ao Poder Legislativo serão elaborados na forma definida no </w:t>
      </w:r>
      <w:r w:rsidRPr="00D216A1">
        <w:rPr>
          <w:i/>
          <w:szCs w:val="24"/>
        </w:rPr>
        <w:t>Caput</w:t>
      </w:r>
      <w:r w:rsidRPr="00D216A1">
        <w:rPr>
          <w:szCs w:val="24"/>
        </w:rPr>
        <w:t xml:space="preserve"> e aprovados por Ato da Mesa Diretora da Câmara Municipal.</w:t>
      </w:r>
    </w:p>
    <w:p w14:paraId="41AB8835" w14:textId="77777777" w:rsidR="00D42727" w:rsidRPr="00D216A1" w:rsidRDefault="00D42727" w:rsidP="00D42727">
      <w:pPr>
        <w:spacing w:after="0" w:line="240" w:lineRule="auto"/>
        <w:rPr>
          <w:b/>
          <w:szCs w:val="24"/>
        </w:rPr>
      </w:pPr>
    </w:p>
    <w:p w14:paraId="6C953E68" w14:textId="77777777" w:rsidR="00D42727" w:rsidRPr="00D216A1" w:rsidRDefault="00D42727" w:rsidP="00D42727">
      <w:pPr>
        <w:spacing w:after="0" w:line="240" w:lineRule="auto"/>
        <w:rPr>
          <w:b/>
          <w:szCs w:val="24"/>
        </w:rPr>
      </w:pPr>
      <w:r w:rsidRPr="00D216A1">
        <w:rPr>
          <w:b/>
          <w:szCs w:val="24"/>
        </w:rPr>
        <w:tab/>
      </w:r>
      <w:r w:rsidRPr="00D216A1">
        <w:rPr>
          <w:b/>
          <w:szCs w:val="24"/>
        </w:rPr>
        <w:tab/>
      </w:r>
      <w:r w:rsidRPr="00D216A1">
        <w:rPr>
          <w:szCs w:val="24"/>
        </w:rPr>
        <w:t>§5º - As codificações da receita e da despesa poderão ser alteradas, a fim de adaptar a classificação adotada pela Secretaria do Tesouro Nacional, do Ministério da Fazenda para efeito de consolidação das contas de que trata a Lei Complementar nº 101/2000.</w:t>
      </w:r>
    </w:p>
    <w:p w14:paraId="3487FDDD" w14:textId="77777777" w:rsidR="00D42727" w:rsidRPr="00D216A1" w:rsidRDefault="00D42727" w:rsidP="00D42727">
      <w:pPr>
        <w:pStyle w:val="SemEspaamento"/>
        <w:jc w:val="both"/>
        <w:rPr>
          <w:rFonts w:ascii="Times New Roman" w:hAnsi="Times New Roman"/>
          <w:sz w:val="24"/>
          <w:szCs w:val="24"/>
        </w:rPr>
      </w:pPr>
    </w:p>
    <w:p w14:paraId="6022D848" w14:textId="77777777" w:rsidR="00D42727" w:rsidRPr="00D216A1" w:rsidRDefault="00D42727" w:rsidP="00D42727">
      <w:pPr>
        <w:spacing w:after="0" w:line="240" w:lineRule="auto"/>
        <w:rPr>
          <w:szCs w:val="24"/>
        </w:rPr>
      </w:pPr>
      <w:r w:rsidRPr="00D216A1">
        <w:rPr>
          <w:b/>
          <w:szCs w:val="24"/>
        </w:rPr>
        <w:tab/>
      </w:r>
      <w:r w:rsidRPr="00D216A1">
        <w:rPr>
          <w:b/>
          <w:szCs w:val="24"/>
        </w:rPr>
        <w:tab/>
      </w:r>
      <w:r w:rsidRPr="00D216A1">
        <w:rPr>
          <w:szCs w:val="24"/>
        </w:rPr>
        <w:t>Art. 14 - Durante a execução orçamentaria, o Chefe do Poder Executivo Municipal poderá promover alterações nos Quadros de Detalhamento de Receita e Despesa de que trata o artigo anterior, observada a programação de despesa fixada na Lei Orçamentaria Anual ou através de créditos adicionais.</w:t>
      </w:r>
    </w:p>
    <w:p w14:paraId="33D0298F" w14:textId="77777777" w:rsidR="00D42727" w:rsidRPr="00D216A1" w:rsidRDefault="00D42727" w:rsidP="00D42727">
      <w:pPr>
        <w:pStyle w:val="SemEspaamento"/>
        <w:jc w:val="both"/>
        <w:rPr>
          <w:rFonts w:ascii="Times New Roman" w:hAnsi="Times New Roman"/>
          <w:sz w:val="24"/>
          <w:szCs w:val="24"/>
        </w:rPr>
      </w:pPr>
    </w:p>
    <w:p w14:paraId="53D71FE6" w14:textId="77777777" w:rsidR="00D42727" w:rsidRPr="00D216A1" w:rsidRDefault="00D42727" w:rsidP="00D42727">
      <w:pPr>
        <w:pStyle w:val="SemEspaamento"/>
        <w:jc w:val="both"/>
        <w:rPr>
          <w:rFonts w:ascii="Times New Roman" w:hAnsi="Times New Roman"/>
          <w:sz w:val="24"/>
          <w:szCs w:val="24"/>
        </w:rPr>
      </w:pPr>
      <w:r w:rsidRPr="00D216A1">
        <w:rPr>
          <w:rFonts w:ascii="Times New Roman" w:hAnsi="Times New Roman"/>
          <w:sz w:val="24"/>
          <w:szCs w:val="24"/>
        </w:rPr>
        <w:lastRenderedPageBreak/>
        <w:tab/>
      </w:r>
      <w:r w:rsidRPr="00D216A1">
        <w:rPr>
          <w:rFonts w:ascii="Times New Roman" w:hAnsi="Times New Roman"/>
          <w:sz w:val="24"/>
          <w:szCs w:val="24"/>
        </w:rPr>
        <w:tab/>
        <w:t>Art. 15 - Com vista ao cumprimento das metas fiscais, no prazo de 30 (trinta) dias a contar da data da publicação da Lei Orçamentária Anual para 2026, o Poder Executivo publicará Decreto da Programação Financeira, estabelecendo os limites mensais de despesas e desembolso financeiro por órgão e por categoria de despesa.</w:t>
      </w:r>
    </w:p>
    <w:p w14:paraId="7EEFA94C" w14:textId="77777777" w:rsidR="00D42727" w:rsidRPr="00D216A1" w:rsidRDefault="00D42727" w:rsidP="00D42727">
      <w:pPr>
        <w:pStyle w:val="SemEspaamento"/>
        <w:jc w:val="both"/>
        <w:rPr>
          <w:rFonts w:ascii="Times New Roman" w:hAnsi="Times New Roman"/>
          <w:sz w:val="24"/>
          <w:szCs w:val="24"/>
        </w:rPr>
      </w:pPr>
    </w:p>
    <w:p w14:paraId="4B3EB448" w14:textId="77777777" w:rsidR="00D42727" w:rsidRPr="00D216A1" w:rsidRDefault="00D42727" w:rsidP="00D42727">
      <w:pPr>
        <w:pStyle w:val="SemEspaamento"/>
        <w:jc w:val="both"/>
        <w:rPr>
          <w:rFonts w:ascii="Times New Roman" w:hAnsi="Times New Roman"/>
          <w:sz w:val="24"/>
          <w:szCs w:val="24"/>
        </w:rPr>
      </w:pPr>
      <w:r w:rsidRPr="00D216A1">
        <w:rPr>
          <w:rFonts w:ascii="Times New Roman" w:hAnsi="Times New Roman"/>
          <w:i/>
          <w:sz w:val="24"/>
          <w:szCs w:val="24"/>
        </w:rPr>
        <w:tab/>
      </w:r>
      <w:r w:rsidRPr="00D216A1">
        <w:rPr>
          <w:rFonts w:ascii="Times New Roman" w:hAnsi="Times New Roman"/>
          <w:i/>
          <w:sz w:val="24"/>
          <w:szCs w:val="24"/>
        </w:rPr>
        <w:tab/>
      </w:r>
      <w:r w:rsidRPr="00D216A1">
        <w:rPr>
          <w:rFonts w:ascii="Times New Roman" w:hAnsi="Times New Roman"/>
          <w:sz w:val="24"/>
          <w:szCs w:val="24"/>
        </w:rPr>
        <w:t>Parágrafo Único - O desembolso mensal estabelecido na Programação Financeira será determinado pela previsão de arrecadação da receita para 2026, que terá como base a média mensal da arrecadação nos anos de 2022 e 2025 e/ou outro condicionante de natureza econômico-financeiro que recomende sua reestimativa para valores inferiores ao previsto na Lei Orçamentária Anual.</w:t>
      </w:r>
    </w:p>
    <w:p w14:paraId="3F9708BF" w14:textId="77777777" w:rsidR="00D42727" w:rsidRPr="00D216A1" w:rsidRDefault="00D42727" w:rsidP="00D42727">
      <w:pPr>
        <w:spacing w:after="0" w:line="240" w:lineRule="auto"/>
        <w:rPr>
          <w:b/>
          <w:szCs w:val="24"/>
        </w:rPr>
      </w:pPr>
    </w:p>
    <w:p w14:paraId="20375204" w14:textId="77777777" w:rsidR="00D42727" w:rsidRPr="00D216A1" w:rsidRDefault="00D42727" w:rsidP="00D42727">
      <w:pPr>
        <w:spacing w:after="0" w:line="240" w:lineRule="auto"/>
        <w:rPr>
          <w:szCs w:val="24"/>
        </w:rPr>
      </w:pPr>
      <w:r w:rsidRPr="00D216A1">
        <w:rPr>
          <w:b/>
          <w:szCs w:val="24"/>
        </w:rPr>
        <w:tab/>
      </w:r>
      <w:r w:rsidRPr="00D216A1">
        <w:rPr>
          <w:b/>
          <w:szCs w:val="24"/>
        </w:rPr>
        <w:tab/>
      </w:r>
      <w:r w:rsidRPr="00D216A1">
        <w:rPr>
          <w:szCs w:val="24"/>
        </w:rPr>
        <w:t>Art. 16 - Esta Lei entra em vigor a partir de 1° de janeiro de 2026, revogadas as disposições em contrários.</w:t>
      </w:r>
    </w:p>
    <w:p w14:paraId="05523A00" w14:textId="77777777" w:rsidR="00D42727" w:rsidRPr="00D216A1" w:rsidRDefault="00D42727" w:rsidP="00D42727">
      <w:pPr>
        <w:spacing w:after="0" w:line="240" w:lineRule="auto"/>
        <w:rPr>
          <w:szCs w:val="24"/>
        </w:rPr>
      </w:pPr>
    </w:p>
    <w:p w14:paraId="3E87BD9C" w14:textId="77777777" w:rsidR="00D42727" w:rsidRPr="00D216A1" w:rsidRDefault="00D42727" w:rsidP="00D42727">
      <w:pPr>
        <w:spacing w:after="0" w:line="240" w:lineRule="auto"/>
        <w:rPr>
          <w:szCs w:val="24"/>
        </w:rPr>
      </w:pPr>
    </w:p>
    <w:p w14:paraId="7881D891" w14:textId="77777777" w:rsidR="00D42727" w:rsidRPr="00D216A1" w:rsidRDefault="00D42727" w:rsidP="00D42727">
      <w:pPr>
        <w:spacing w:after="0" w:line="240" w:lineRule="auto"/>
        <w:rPr>
          <w:szCs w:val="24"/>
        </w:rPr>
      </w:pPr>
    </w:p>
    <w:p w14:paraId="285E3D25" w14:textId="77777777" w:rsidR="00D42727" w:rsidRPr="00D216A1" w:rsidRDefault="00D42727" w:rsidP="00D42727">
      <w:pPr>
        <w:spacing w:after="0" w:line="240" w:lineRule="auto"/>
        <w:jc w:val="center"/>
        <w:rPr>
          <w:szCs w:val="24"/>
        </w:rPr>
      </w:pPr>
      <w:r w:rsidRPr="00D216A1">
        <w:rPr>
          <w:szCs w:val="24"/>
        </w:rPr>
        <w:t>S</w:t>
      </w:r>
      <w:r w:rsidRPr="00D42727">
        <w:rPr>
          <w:szCs w:val="24"/>
        </w:rPr>
        <w:t>ã</w:t>
      </w:r>
      <w:r w:rsidRPr="00D216A1">
        <w:rPr>
          <w:szCs w:val="24"/>
        </w:rPr>
        <w:t>o Miguel do Gostoso/RN, 02 de dezembro de 2025</w:t>
      </w:r>
    </w:p>
    <w:p w14:paraId="425C81B1" w14:textId="77777777" w:rsidR="00D42727" w:rsidRPr="00D216A1" w:rsidRDefault="00D42727" w:rsidP="00D42727">
      <w:pPr>
        <w:spacing w:after="0" w:line="240" w:lineRule="auto"/>
        <w:rPr>
          <w:szCs w:val="24"/>
        </w:rPr>
      </w:pPr>
    </w:p>
    <w:p w14:paraId="71E8478D" w14:textId="77777777" w:rsidR="00D42727" w:rsidRPr="00D216A1" w:rsidRDefault="00D42727" w:rsidP="00D42727">
      <w:pPr>
        <w:spacing w:after="0" w:line="240" w:lineRule="auto"/>
        <w:rPr>
          <w:szCs w:val="24"/>
        </w:rPr>
      </w:pPr>
    </w:p>
    <w:p w14:paraId="770DEDC5" w14:textId="77777777" w:rsidR="00D42727" w:rsidRPr="00D42727" w:rsidRDefault="00D42727" w:rsidP="00D42727">
      <w:pPr>
        <w:spacing w:after="0" w:line="240" w:lineRule="auto"/>
        <w:rPr>
          <w:b/>
          <w:bCs/>
          <w:i/>
          <w:iCs/>
          <w:szCs w:val="24"/>
        </w:rPr>
      </w:pPr>
    </w:p>
    <w:p w14:paraId="6C67A104" w14:textId="77777777" w:rsidR="00D42727" w:rsidRPr="00D42727" w:rsidRDefault="00D42727" w:rsidP="00D42727">
      <w:pPr>
        <w:spacing w:after="0" w:line="240" w:lineRule="auto"/>
        <w:jc w:val="center"/>
        <w:rPr>
          <w:b/>
          <w:bCs/>
          <w:i/>
          <w:iCs/>
          <w:szCs w:val="24"/>
        </w:rPr>
      </w:pPr>
      <w:r w:rsidRPr="00D42727">
        <w:rPr>
          <w:b/>
          <w:bCs/>
          <w:i/>
          <w:iCs/>
          <w:szCs w:val="24"/>
        </w:rPr>
        <w:t>LEONARDO TEIXEIRA DA CUNHA</w:t>
      </w:r>
    </w:p>
    <w:p w14:paraId="5E98F96F" w14:textId="77777777" w:rsidR="00D42727" w:rsidRPr="00D216A1" w:rsidRDefault="00D42727" w:rsidP="00D42727">
      <w:pPr>
        <w:spacing w:after="0" w:line="240" w:lineRule="auto"/>
        <w:jc w:val="center"/>
        <w:rPr>
          <w:szCs w:val="24"/>
        </w:rPr>
      </w:pPr>
      <w:r w:rsidRPr="00D216A1">
        <w:rPr>
          <w:szCs w:val="24"/>
        </w:rPr>
        <w:t>Prefeito Municipal</w:t>
      </w:r>
    </w:p>
    <w:p w14:paraId="10501C50" w14:textId="77777777" w:rsidR="0085608C" w:rsidRPr="00D42727" w:rsidRDefault="0085608C" w:rsidP="00D42727"/>
    <w:sectPr w:rsidR="0085608C" w:rsidRPr="00D42727" w:rsidSect="00956EBB">
      <w:headerReference w:type="even" r:id="rId7"/>
      <w:headerReference w:type="default" r:id="rId8"/>
      <w:footerReference w:type="even" r:id="rId9"/>
      <w:footerReference w:type="default" r:id="rId10"/>
      <w:headerReference w:type="first" r:id="rId11"/>
      <w:footerReference w:type="first" r:id="rId12"/>
      <w:pgSz w:w="11900" w:h="16840"/>
      <w:pgMar w:top="1985" w:right="1440" w:bottom="1440" w:left="1440" w:header="426" w:footer="7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B7D3" w14:textId="77777777" w:rsidR="00373090" w:rsidRDefault="00373090">
      <w:pPr>
        <w:spacing w:after="0" w:line="240" w:lineRule="auto"/>
      </w:pPr>
      <w:r>
        <w:separator/>
      </w:r>
    </w:p>
  </w:endnote>
  <w:endnote w:type="continuationSeparator" w:id="0">
    <w:p w14:paraId="39A3D736" w14:textId="77777777" w:rsidR="00373090" w:rsidRDefault="0037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AEBA" w14:textId="074E06FD" w:rsidR="00081505" w:rsidRPr="00956EBB" w:rsidRDefault="00000000" w:rsidP="00956EBB">
    <w:pPr>
      <w:pStyle w:val="Rodap"/>
    </w:pPr>
    <w:r w:rsidRPr="00956EBB">
      <w:rPr>
        <w:rFonts w:eastAsia="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2E4B" w14:textId="6BB4541C" w:rsidR="00081505" w:rsidRPr="00956EBB" w:rsidRDefault="00000000" w:rsidP="00956EBB">
    <w:pPr>
      <w:pStyle w:val="Rodap"/>
    </w:pPr>
    <w:r w:rsidRPr="00956EBB">
      <w:rPr>
        <w:rFonts w:eastAsia="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90A5" w14:textId="77777777" w:rsidR="00081505" w:rsidRDefault="00000000">
    <w:pPr>
      <w:spacing w:after="0" w:line="259" w:lineRule="auto"/>
      <w:ind w:left="-308" w:firstLine="0"/>
      <w:jc w:val="left"/>
    </w:pPr>
    <w:r>
      <w:rPr>
        <w:rFonts w:ascii="Calibri" w:eastAsia="Calibri" w:hAnsi="Calibri" w:cs="Calibri"/>
        <w:sz w:val="18"/>
      </w:rPr>
      <w:t xml:space="preserve"> SMG – </w:t>
    </w:r>
    <w:r>
      <w:rPr>
        <w:rFonts w:ascii="Calibri" w:eastAsia="Calibri" w:hAnsi="Calibri" w:cs="Calibri"/>
        <w:sz w:val="20"/>
      </w:rPr>
      <w:t xml:space="preserve">Secretaria Municipal do Governo </w:t>
    </w:r>
  </w:p>
  <w:p w14:paraId="0312D001" w14:textId="77777777" w:rsidR="00081505" w:rsidRDefault="00000000">
    <w:pPr>
      <w:spacing w:after="30" w:line="240" w:lineRule="auto"/>
      <w:ind w:left="-308" w:right="4778" w:firstLine="0"/>
      <w:jc w:val="left"/>
    </w:pPr>
    <w:r>
      <w:rPr>
        <w:rFonts w:ascii="Calibri" w:eastAsia="Calibri" w:hAnsi="Calibri" w:cs="Calibri"/>
        <w:sz w:val="18"/>
      </w:rPr>
      <w:t xml:space="preserve"> Praça Vereador José de Deus Barbosa nº 70 – </w:t>
    </w:r>
    <w:proofErr w:type="gramStart"/>
    <w:r>
      <w:rPr>
        <w:rFonts w:ascii="Calibri" w:eastAsia="Calibri" w:hAnsi="Calibri" w:cs="Calibri"/>
        <w:sz w:val="18"/>
      </w:rPr>
      <w:t xml:space="preserve">Centro  </w:t>
    </w:r>
    <w:proofErr w:type="spellStart"/>
    <w:r>
      <w:rPr>
        <w:rFonts w:ascii="Calibri" w:eastAsia="Calibri" w:hAnsi="Calibri" w:cs="Calibri"/>
        <w:sz w:val="18"/>
      </w:rPr>
      <w:t>Itajá</w:t>
    </w:r>
    <w:proofErr w:type="gramEnd"/>
    <w:r>
      <w:rPr>
        <w:rFonts w:ascii="Calibri" w:eastAsia="Calibri" w:hAnsi="Calibri" w:cs="Calibri"/>
        <w:sz w:val="18"/>
      </w:rPr>
      <w:t>|RN</w:t>
    </w:r>
    <w:proofErr w:type="spellEnd"/>
    <w:r>
      <w:rPr>
        <w:rFonts w:ascii="Calibri" w:eastAsia="Calibri" w:hAnsi="Calibri" w:cs="Calibri"/>
        <w:sz w:val="18"/>
      </w:rPr>
      <w:t xml:space="preserve"> - Brasil </w:t>
    </w:r>
  </w:p>
  <w:p w14:paraId="03C26379" w14:textId="77777777" w:rsidR="00081505" w:rsidRDefault="00000000">
    <w:pPr>
      <w:spacing w:after="0" w:line="259" w:lineRule="auto"/>
      <w:ind w:left="-308" w:firstLine="0"/>
      <w:jc w:val="left"/>
    </w:pPr>
    <w:r>
      <w:rPr>
        <w:rFonts w:ascii="Calibri" w:eastAsia="Calibri" w:hAnsi="Calibri" w:cs="Calibri"/>
        <w:sz w:val="18"/>
      </w:rPr>
      <w:t xml:space="preserve"> Contato: (84) 3330-2255 | </w:t>
    </w:r>
    <w:r>
      <w:rPr>
        <w:rFonts w:ascii="Calibri" w:eastAsia="Calibri" w:hAnsi="Calibri" w:cs="Calibri"/>
        <w:sz w:val="18"/>
        <w:shd w:val="clear" w:color="auto" w:fill="FCFCFC"/>
      </w:rPr>
      <w:t>gabinete@itaja.rn.gov.br</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9B6D" w14:textId="77777777" w:rsidR="00373090" w:rsidRDefault="00373090">
      <w:pPr>
        <w:spacing w:after="0" w:line="240" w:lineRule="auto"/>
      </w:pPr>
      <w:r>
        <w:separator/>
      </w:r>
    </w:p>
  </w:footnote>
  <w:footnote w:type="continuationSeparator" w:id="0">
    <w:p w14:paraId="399FC7FE" w14:textId="77777777" w:rsidR="00373090" w:rsidRDefault="00373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C7A6" w14:textId="77777777" w:rsidR="00081505" w:rsidRDefault="00000000">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0EC49BF1" wp14:editId="279F1490">
              <wp:simplePos x="0" y="0"/>
              <wp:positionH relativeFrom="page">
                <wp:posOffset>2632456</wp:posOffset>
              </wp:positionH>
              <wp:positionV relativeFrom="page">
                <wp:posOffset>775081</wp:posOffset>
              </wp:positionV>
              <wp:extent cx="724217" cy="154940"/>
              <wp:effectExtent l="0" t="0" r="0" b="0"/>
              <wp:wrapNone/>
              <wp:docPr id="70365" name="Group 70365"/>
              <wp:cNvGraphicFramePr/>
              <a:graphic xmlns:a="http://schemas.openxmlformats.org/drawingml/2006/main">
                <a:graphicData uri="http://schemas.microsoft.com/office/word/2010/wordprocessingGroup">
                  <wpg:wgp>
                    <wpg:cNvGrpSpPr/>
                    <wpg:grpSpPr>
                      <a:xfrm>
                        <a:off x="0" y="0"/>
                        <a:ext cx="724217" cy="154940"/>
                        <a:chOff x="0" y="0"/>
                        <a:chExt cx="724217" cy="154940"/>
                      </a:xfrm>
                    </wpg:grpSpPr>
                    <wps:wsp>
                      <wps:cNvPr id="71123" name="Shape 71123"/>
                      <wps:cNvSpPr/>
                      <wps:spPr>
                        <a:xfrm>
                          <a:off x="0" y="0"/>
                          <a:ext cx="724217" cy="154940"/>
                        </a:xfrm>
                        <a:custGeom>
                          <a:avLst/>
                          <a:gdLst/>
                          <a:ahLst/>
                          <a:cxnLst/>
                          <a:rect l="0" t="0" r="0" b="0"/>
                          <a:pathLst>
                            <a:path w="724217" h="154940">
                              <a:moveTo>
                                <a:pt x="0" y="0"/>
                              </a:moveTo>
                              <a:lnTo>
                                <a:pt x="724217" y="0"/>
                              </a:lnTo>
                              <a:lnTo>
                                <a:pt x="724217" y="154940"/>
                              </a:lnTo>
                              <a:lnTo>
                                <a:pt x="0" y="154940"/>
                              </a:lnTo>
                              <a:lnTo>
                                <a:pt x="0" y="0"/>
                              </a:lnTo>
                            </a:path>
                          </a:pathLst>
                        </a:custGeom>
                        <a:ln w="0" cap="flat">
                          <a:round/>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70365" style="width:57.025pt;height:12.2pt;position:absolute;z-index:-2147483648;mso-position-horizontal-relative:page;mso-position-horizontal:absolute;margin-left:207.28pt;mso-position-vertical-relative:page;margin-top:61.03pt;" coordsize="7242,1549">
              <v:shape id="Shape 71124" style="position:absolute;width:7242;height:1549;left:0;top:0;" coordsize="724217,154940" path="m0,0l724217,0l724217,154940l0,154940l0,0">
                <v:stroke weight="0pt" endcap="flat" joinstyle="round" on="false" color="#000000" opacity="0"/>
                <v:fill on="true" color="#fcfcf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EF1C" w14:textId="77777777" w:rsidR="00956EBB" w:rsidRPr="0029208E" w:rsidRDefault="00956EBB" w:rsidP="00956EBB">
    <w:pPr>
      <w:spacing w:after="0" w:line="240" w:lineRule="auto"/>
      <w:ind w:hanging="11"/>
    </w:pPr>
    <w:r>
      <w:rPr>
        <w:noProof/>
      </w:rPr>
      <w:drawing>
        <wp:anchor distT="0" distB="0" distL="114300" distR="114300" simplePos="0" relativeHeight="251668480" behindDoc="0" locked="0" layoutInCell="1" allowOverlap="1" wp14:anchorId="096E0F23" wp14:editId="5C8FDA07">
          <wp:simplePos x="0" y="0"/>
          <wp:positionH relativeFrom="margin">
            <wp:posOffset>-267335</wp:posOffset>
          </wp:positionH>
          <wp:positionV relativeFrom="page">
            <wp:posOffset>309245</wp:posOffset>
          </wp:positionV>
          <wp:extent cx="843915" cy="788035"/>
          <wp:effectExtent l="0" t="0" r="0" b="0"/>
          <wp:wrapThrough wrapText="bothSides">
            <wp:wrapPolygon edited="0">
              <wp:start x="0" y="0"/>
              <wp:lineTo x="0" y="21234"/>
              <wp:lineTo x="21129" y="21234"/>
              <wp:lineTo x="21129" y="0"/>
              <wp:lineTo x="0" y="0"/>
            </wp:wrapPolygon>
          </wp:wrapThrough>
          <wp:docPr id="1361491535" name="Imagem 1361491535" descr="F:\IMG-20160919-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F:\IMG-20160919-WA00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7880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9208E">
      <w:t>GOVERNO DO ESTADO DO RIO GRANDE DO NORTE</w:t>
    </w:r>
  </w:p>
  <w:p w14:paraId="2A42B893" w14:textId="77777777" w:rsidR="00956EBB" w:rsidRPr="0029208E" w:rsidRDefault="00956EBB" w:rsidP="00956EBB">
    <w:pPr>
      <w:pStyle w:val="Cabealho"/>
      <w:ind w:left="1134" w:hanging="11"/>
      <w:rPr>
        <w:b/>
        <w:bCs/>
      </w:rPr>
    </w:pPr>
    <w:r w:rsidRPr="0029208E">
      <w:rPr>
        <w:b/>
        <w:bCs/>
      </w:rPr>
      <w:t>PREFEITURA MUNICIPAL DE SÃO MIGUEL DO GOSTOSO</w:t>
    </w:r>
  </w:p>
  <w:p w14:paraId="5CAFAA1B" w14:textId="77777777" w:rsidR="00956EBB" w:rsidRPr="0029208E" w:rsidRDefault="00956EBB" w:rsidP="00956EBB">
    <w:pPr>
      <w:pStyle w:val="Cabealho"/>
      <w:ind w:left="1134" w:hanging="11"/>
    </w:pPr>
    <w:r w:rsidRPr="0029208E">
      <w:t>CNPJ: 01.612.396/0001-90</w:t>
    </w:r>
  </w:p>
  <w:p w14:paraId="5A1DB6D2" w14:textId="77777777" w:rsidR="00956EBB" w:rsidRPr="0029208E" w:rsidRDefault="00956EBB" w:rsidP="00956EBB">
    <w:pPr>
      <w:pStyle w:val="Cabealho"/>
      <w:ind w:left="1134" w:hanging="11"/>
      <w:rPr>
        <w:szCs w:val="16"/>
      </w:rPr>
    </w:pPr>
    <w:r>
      <w:rPr>
        <w:szCs w:val="16"/>
      </w:rPr>
      <w:t>Av. dos Arrecifes</w:t>
    </w:r>
    <w:r w:rsidRPr="0029208E">
      <w:rPr>
        <w:szCs w:val="16"/>
      </w:rPr>
      <w:t xml:space="preserve">, </w:t>
    </w:r>
    <w:r>
      <w:rPr>
        <w:szCs w:val="16"/>
      </w:rPr>
      <w:t>1710</w:t>
    </w:r>
    <w:r w:rsidRPr="0029208E">
      <w:rPr>
        <w:szCs w:val="16"/>
      </w:rPr>
      <w:t xml:space="preserve"> – Centro – CEP: 59585-000</w:t>
    </w:r>
  </w:p>
  <w:p w14:paraId="00D8E08D" w14:textId="13893E99" w:rsidR="00081505" w:rsidRPr="00956EBB" w:rsidRDefault="00956EBB" w:rsidP="00956EBB">
    <w:pPr>
      <w:spacing w:after="0" w:line="240" w:lineRule="auto"/>
      <w:ind w:left="1134" w:hanging="11"/>
      <w:rPr>
        <w:sz w:val="20"/>
        <w:szCs w:val="16"/>
      </w:rPr>
    </w:pPr>
    <w:r w:rsidRPr="0029208E">
      <w:rPr>
        <w:szCs w:val="16"/>
      </w:rPr>
      <w:t xml:space="preserve">TEL/FAX: (84) 3263-4181 </w:t>
    </w:r>
    <w:r>
      <w:rPr>
        <w:szCs w:val="16"/>
      </w:rPr>
      <w:t>- saomigueldogostoso.rn.gov.br</w:t>
    </w: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1CE4B201" wp14:editId="0C8D941A">
              <wp:simplePos x="0" y="0"/>
              <wp:positionH relativeFrom="page">
                <wp:posOffset>2632456</wp:posOffset>
              </wp:positionH>
              <wp:positionV relativeFrom="page">
                <wp:posOffset>775081</wp:posOffset>
              </wp:positionV>
              <wp:extent cx="724217" cy="154940"/>
              <wp:effectExtent l="0" t="0" r="0" b="0"/>
              <wp:wrapNone/>
              <wp:docPr id="70298" name="Group 70298"/>
              <wp:cNvGraphicFramePr/>
              <a:graphic xmlns:a="http://schemas.openxmlformats.org/drawingml/2006/main">
                <a:graphicData uri="http://schemas.microsoft.com/office/word/2010/wordprocessingGroup">
                  <wpg:wgp>
                    <wpg:cNvGrpSpPr/>
                    <wpg:grpSpPr>
                      <a:xfrm>
                        <a:off x="0" y="0"/>
                        <a:ext cx="724217" cy="154940"/>
                        <a:chOff x="0" y="0"/>
                        <a:chExt cx="724217" cy="154940"/>
                      </a:xfrm>
                    </wpg:grpSpPr>
                    <wps:wsp>
                      <wps:cNvPr id="71121" name="Shape 71121"/>
                      <wps:cNvSpPr/>
                      <wps:spPr>
                        <a:xfrm>
                          <a:off x="0" y="0"/>
                          <a:ext cx="724217" cy="154940"/>
                        </a:xfrm>
                        <a:custGeom>
                          <a:avLst/>
                          <a:gdLst/>
                          <a:ahLst/>
                          <a:cxnLst/>
                          <a:rect l="0" t="0" r="0" b="0"/>
                          <a:pathLst>
                            <a:path w="724217" h="154940">
                              <a:moveTo>
                                <a:pt x="0" y="0"/>
                              </a:moveTo>
                              <a:lnTo>
                                <a:pt x="724217" y="0"/>
                              </a:lnTo>
                              <a:lnTo>
                                <a:pt x="724217" y="154940"/>
                              </a:lnTo>
                              <a:lnTo>
                                <a:pt x="0" y="154940"/>
                              </a:lnTo>
                              <a:lnTo>
                                <a:pt x="0" y="0"/>
                              </a:lnTo>
                            </a:path>
                          </a:pathLst>
                        </a:custGeom>
                        <a:ln w="0" cap="flat">
                          <a:round/>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70298" style="width:57.025pt;height:12.2pt;position:absolute;z-index:-2147483648;mso-position-horizontal-relative:page;mso-position-horizontal:absolute;margin-left:207.28pt;mso-position-vertical-relative:page;margin-top:61.03pt;" coordsize="7242,1549">
              <v:shape id="Shape 71122" style="position:absolute;width:7242;height:1549;left:0;top:0;" coordsize="724217,154940" path="m0,0l724217,0l724217,154940l0,154940l0,0">
                <v:stroke weight="0pt" endcap="flat" joinstyle="round" on="false" color="#000000" opacity="0"/>
                <v:fill on="true" color="#fcfcf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28C5" w14:textId="77777777" w:rsidR="00081505"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2E7764B7" wp14:editId="355F8DF5">
              <wp:simplePos x="0" y="0"/>
              <wp:positionH relativeFrom="page">
                <wp:posOffset>2632456</wp:posOffset>
              </wp:positionH>
              <wp:positionV relativeFrom="page">
                <wp:posOffset>775081</wp:posOffset>
              </wp:positionV>
              <wp:extent cx="724217" cy="154940"/>
              <wp:effectExtent l="0" t="0" r="0" b="0"/>
              <wp:wrapNone/>
              <wp:docPr id="70231" name="Group 70231"/>
              <wp:cNvGraphicFramePr/>
              <a:graphic xmlns:a="http://schemas.openxmlformats.org/drawingml/2006/main">
                <a:graphicData uri="http://schemas.microsoft.com/office/word/2010/wordprocessingGroup">
                  <wpg:wgp>
                    <wpg:cNvGrpSpPr/>
                    <wpg:grpSpPr>
                      <a:xfrm>
                        <a:off x="0" y="0"/>
                        <a:ext cx="724217" cy="154940"/>
                        <a:chOff x="0" y="0"/>
                        <a:chExt cx="724217" cy="154940"/>
                      </a:xfrm>
                    </wpg:grpSpPr>
                    <wps:wsp>
                      <wps:cNvPr id="71119" name="Shape 71119"/>
                      <wps:cNvSpPr/>
                      <wps:spPr>
                        <a:xfrm>
                          <a:off x="0" y="0"/>
                          <a:ext cx="724217" cy="154940"/>
                        </a:xfrm>
                        <a:custGeom>
                          <a:avLst/>
                          <a:gdLst/>
                          <a:ahLst/>
                          <a:cxnLst/>
                          <a:rect l="0" t="0" r="0" b="0"/>
                          <a:pathLst>
                            <a:path w="724217" h="154940">
                              <a:moveTo>
                                <a:pt x="0" y="0"/>
                              </a:moveTo>
                              <a:lnTo>
                                <a:pt x="724217" y="0"/>
                              </a:lnTo>
                              <a:lnTo>
                                <a:pt x="724217" y="154940"/>
                              </a:lnTo>
                              <a:lnTo>
                                <a:pt x="0" y="154940"/>
                              </a:lnTo>
                              <a:lnTo>
                                <a:pt x="0" y="0"/>
                              </a:lnTo>
                            </a:path>
                          </a:pathLst>
                        </a:custGeom>
                        <a:ln w="0" cap="flat">
                          <a:round/>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70231" style="width:57.025pt;height:12.2pt;position:absolute;z-index:-2147483648;mso-position-horizontal-relative:page;mso-position-horizontal:absolute;margin-left:207.28pt;mso-position-vertical-relative:page;margin-top:61.03pt;" coordsize="7242,1549">
              <v:shape id="Shape 71120" style="position:absolute;width:7242;height:1549;left:0;top:0;" coordsize="724217,154940" path="m0,0l724217,0l724217,154940l0,154940l0,0">
                <v:stroke weight="0pt" endcap="flat" joinstyle="round" on="false" color="#000000" opacity="0"/>
                <v:fill on="true" color="#fcfcfc"/>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21A"/>
    <w:multiLevelType w:val="multilevel"/>
    <w:tmpl w:val="AD24C5A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6D19"/>
    <w:multiLevelType w:val="hybridMultilevel"/>
    <w:tmpl w:val="48F8CE7A"/>
    <w:lvl w:ilvl="0" w:tplc="925AEFDE">
      <w:start w:val="1"/>
      <w:numFmt w:val="upperRoman"/>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6D99C">
      <w:start w:val="1"/>
      <w:numFmt w:val="lowerLetter"/>
      <w:lvlText w:val="%2"/>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86980">
      <w:start w:val="1"/>
      <w:numFmt w:val="lowerRoman"/>
      <w:lvlText w:val="%3"/>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A6164">
      <w:start w:val="1"/>
      <w:numFmt w:val="decimal"/>
      <w:lvlText w:val="%4"/>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A71D8">
      <w:start w:val="1"/>
      <w:numFmt w:val="lowerLetter"/>
      <w:lvlText w:val="%5"/>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EC174">
      <w:start w:val="1"/>
      <w:numFmt w:val="lowerRoman"/>
      <w:lvlText w:val="%6"/>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62F72">
      <w:start w:val="1"/>
      <w:numFmt w:val="decimal"/>
      <w:lvlText w:val="%7"/>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83B1C">
      <w:start w:val="1"/>
      <w:numFmt w:val="lowerLetter"/>
      <w:lvlText w:val="%8"/>
      <w:lvlJc w:val="left"/>
      <w:pPr>
        <w:ind w:left="7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883EE">
      <w:start w:val="1"/>
      <w:numFmt w:val="lowerRoman"/>
      <w:lvlText w:val="%9"/>
      <w:lvlJc w:val="left"/>
      <w:pPr>
        <w:ind w:left="7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8A226E"/>
    <w:multiLevelType w:val="hybridMultilevel"/>
    <w:tmpl w:val="2EC6B83E"/>
    <w:lvl w:ilvl="0" w:tplc="C8A4CCE8">
      <w:start w:val="1"/>
      <w:numFmt w:val="upperRoman"/>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8466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22862">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B052C2">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E2688">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4B97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A88D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2327A">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CDCB4">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7D72D4"/>
    <w:multiLevelType w:val="hybridMultilevel"/>
    <w:tmpl w:val="FDAC4E66"/>
    <w:lvl w:ilvl="0" w:tplc="1AF48C58">
      <w:start w:val="1"/>
      <w:numFmt w:val="upperRoman"/>
      <w:lvlText w:val="%1"/>
      <w:lvlJc w:val="left"/>
      <w:pPr>
        <w:ind w:left="1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9D5C4688">
      <w:start w:val="1"/>
      <w:numFmt w:val="lowerLetter"/>
      <w:lvlText w:val="%2"/>
      <w:lvlJc w:val="left"/>
      <w:pPr>
        <w:ind w:left="221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62888B4A">
      <w:start w:val="1"/>
      <w:numFmt w:val="lowerRoman"/>
      <w:lvlText w:val="%3"/>
      <w:lvlJc w:val="left"/>
      <w:pPr>
        <w:ind w:left="293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258028E8">
      <w:start w:val="1"/>
      <w:numFmt w:val="decimal"/>
      <w:lvlText w:val="%4"/>
      <w:lvlJc w:val="left"/>
      <w:pPr>
        <w:ind w:left="365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D1BEE246">
      <w:start w:val="1"/>
      <w:numFmt w:val="lowerLetter"/>
      <w:lvlText w:val="%5"/>
      <w:lvlJc w:val="left"/>
      <w:pPr>
        <w:ind w:left="437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5D528598">
      <w:start w:val="1"/>
      <w:numFmt w:val="lowerRoman"/>
      <w:lvlText w:val="%6"/>
      <w:lvlJc w:val="left"/>
      <w:pPr>
        <w:ind w:left="509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78CCCD6C">
      <w:start w:val="1"/>
      <w:numFmt w:val="decimal"/>
      <w:lvlText w:val="%7"/>
      <w:lvlJc w:val="left"/>
      <w:pPr>
        <w:ind w:left="581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1A4C1FE">
      <w:start w:val="1"/>
      <w:numFmt w:val="lowerLetter"/>
      <w:lvlText w:val="%8"/>
      <w:lvlJc w:val="left"/>
      <w:pPr>
        <w:ind w:left="653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DAD4B2C8">
      <w:start w:val="1"/>
      <w:numFmt w:val="lowerRoman"/>
      <w:lvlText w:val="%9"/>
      <w:lvlJc w:val="left"/>
      <w:pPr>
        <w:ind w:left="725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4" w15:restartNumberingAfterBreak="0">
    <w:nsid w:val="1BDE3D35"/>
    <w:multiLevelType w:val="hybridMultilevel"/>
    <w:tmpl w:val="994A2C1A"/>
    <w:lvl w:ilvl="0" w:tplc="3DCADCDC">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2A3C5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6D5D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4472E2">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85DD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0DE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2016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806C0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24985A">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4C112B"/>
    <w:multiLevelType w:val="hybridMultilevel"/>
    <w:tmpl w:val="C0700C7E"/>
    <w:lvl w:ilvl="0" w:tplc="C00E5DCC">
      <w:start w:val="1"/>
      <w:numFmt w:val="upperRoman"/>
      <w:lvlText w:val="%1"/>
      <w:lvlJc w:val="left"/>
      <w:pPr>
        <w:ind w:left="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8BF14">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05C56">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6C62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A3A6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67F6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433A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6E468">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82360">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A8421E"/>
    <w:multiLevelType w:val="hybridMultilevel"/>
    <w:tmpl w:val="5068FCF8"/>
    <w:lvl w:ilvl="0" w:tplc="659EDAC8">
      <w:start w:val="1"/>
      <w:numFmt w:val="upperRoman"/>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E5B3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0904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E60CD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27D7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44388">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02A74E">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8563C">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E3392">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84971"/>
    <w:multiLevelType w:val="hybridMultilevel"/>
    <w:tmpl w:val="818092AC"/>
    <w:lvl w:ilvl="0" w:tplc="3794970C">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FA8D5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A803E">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8D1C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FFAC">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44DAA">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051D6">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AD19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03CF4">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8C3F98"/>
    <w:multiLevelType w:val="hybridMultilevel"/>
    <w:tmpl w:val="D80CC9D4"/>
    <w:lvl w:ilvl="0" w:tplc="5E509164">
      <w:start w:val="1"/>
      <w:numFmt w:val="upperRoman"/>
      <w:lvlText w:val="%1"/>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8748A">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A46800">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34635C">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005EE">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E55F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A64F2">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967E24">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F6A56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715A99"/>
    <w:multiLevelType w:val="hybridMultilevel"/>
    <w:tmpl w:val="B6A20BCE"/>
    <w:lvl w:ilvl="0" w:tplc="5A9EDA3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C6E2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A6F20">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8CBEE">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C94F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00C5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27522">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2E0B8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8C832">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631B8A"/>
    <w:multiLevelType w:val="hybridMultilevel"/>
    <w:tmpl w:val="6A7A58D0"/>
    <w:lvl w:ilvl="0" w:tplc="96BEA62A">
      <w:start w:val="1"/>
      <w:numFmt w:val="upperRoman"/>
      <w:lvlText w:val="%1"/>
      <w:lvlJc w:val="left"/>
      <w:pPr>
        <w:ind w:left="31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16FC03A2">
      <w:start w:val="1"/>
      <w:numFmt w:val="lowerLetter"/>
      <w:lvlText w:val="%2"/>
      <w:lvlJc w:val="left"/>
      <w:pPr>
        <w:ind w:left="221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974470B6">
      <w:start w:val="1"/>
      <w:numFmt w:val="lowerRoman"/>
      <w:lvlText w:val="%3"/>
      <w:lvlJc w:val="left"/>
      <w:pPr>
        <w:ind w:left="293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816A61CC">
      <w:start w:val="1"/>
      <w:numFmt w:val="decimal"/>
      <w:lvlText w:val="%4"/>
      <w:lvlJc w:val="left"/>
      <w:pPr>
        <w:ind w:left="365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4E1AAC3A">
      <w:start w:val="1"/>
      <w:numFmt w:val="lowerLetter"/>
      <w:lvlText w:val="%5"/>
      <w:lvlJc w:val="left"/>
      <w:pPr>
        <w:ind w:left="437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C38ED0DE">
      <w:start w:val="1"/>
      <w:numFmt w:val="lowerRoman"/>
      <w:lvlText w:val="%6"/>
      <w:lvlJc w:val="left"/>
      <w:pPr>
        <w:ind w:left="509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7B24AB24">
      <w:start w:val="1"/>
      <w:numFmt w:val="decimal"/>
      <w:lvlText w:val="%7"/>
      <w:lvlJc w:val="left"/>
      <w:pPr>
        <w:ind w:left="581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1B12EFAA">
      <w:start w:val="1"/>
      <w:numFmt w:val="lowerLetter"/>
      <w:lvlText w:val="%8"/>
      <w:lvlJc w:val="left"/>
      <w:pPr>
        <w:ind w:left="653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E73EE7B0">
      <w:start w:val="1"/>
      <w:numFmt w:val="lowerRoman"/>
      <w:lvlText w:val="%9"/>
      <w:lvlJc w:val="left"/>
      <w:pPr>
        <w:ind w:left="725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1" w15:restartNumberingAfterBreak="0">
    <w:nsid w:val="592D4E50"/>
    <w:multiLevelType w:val="hybridMultilevel"/>
    <w:tmpl w:val="4384ADDA"/>
    <w:lvl w:ilvl="0" w:tplc="0F28F77E">
      <w:start w:val="1"/>
      <w:numFmt w:val="upperRoman"/>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6230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02DE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D6529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CAAAA">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A00AA">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CD3D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6957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EFA0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4648DE"/>
    <w:multiLevelType w:val="hybridMultilevel"/>
    <w:tmpl w:val="40AC8CF0"/>
    <w:lvl w:ilvl="0" w:tplc="3F342A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63D9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CCB18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08A60">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E34A0">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2C7D2">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8CD2EE">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ACA56">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64334">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45118"/>
    <w:multiLevelType w:val="hybridMultilevel"/>
    <w:tmpl w:val="85929CA2"/>
    <w:lvl w:ilvl="0" w:tplc="7C8EB18C">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0424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2E9FE">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E525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69CB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A09FC">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8ED7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ECCD9A">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25B68">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F13FE5"/>
    <w:multiLevelType w:val="hybridMultilevel"/>
    <w:tmpl w:val="EE1A17C2"/>
    <w:lvl w:ilvl="0" w:tplc="C80CFA9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4DCE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2B3F0">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EE88A">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9AE4F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C75A">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DAC6F2">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217BA">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2A5BC">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DC4C25"/>
    <w:multiLevelType w:val="hybridMultilevel"/>
    <w:tmpl w:val="C3AC343E"/>
    <w:lvl w:ilvl="0" w:tplc="BEECD88C">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74B5A4">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C4FDC">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C84E6C">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AA030">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AB916">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4833C">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2BCC6">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22B6A">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1153CC"/>
    <w:multiLevelType w:val="hybridMultilevel"/>
    <w:tmpl w:val="66B0D7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771D7E"/>
    <w:multiLevelType w:val="hybridMultilevel"/>
    <w:tmpl w:val="54720ACA"/>
    <w:lvl w:ilvl="0" w:tplc="49FCB70E">
      <w:start w:val="3"/>
      <w:numFmt w:val="upperRoman"/>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AB2D0">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4CF1C">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0287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D8A48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230D0">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2414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27C1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682B0">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307A7A"/>
    <w:multiLevelType w:val="hybridMultilevel"/>
    <w:tmpl w:val="ECA28388"/>
    <w:lvl w:ilvl="0" w:tplc="7E146C46">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14D76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81E1E">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ECA3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8113C">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8788C">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8F58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8AE5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0E848">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AF3B75"/>
    <w:multiLevelType w:val="multilevel"/>
    <w:tmpl w:val="7D60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F40022"/>
    <w:multiLevelType w:val="hybridMultilevel"/>
    <w:tmpl w:val="AE14A106"/>
    <w:lvl w:ilvl="0" w:tplc="F18ACB32">
      <w:start w:val="1"/>
      <w:numFmt w:val="upperRoman"/>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C85A2">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2ABB2">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EE92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8156C">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A68B0">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8B504">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C24EA">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28F052">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6445EA6"/>
    <w:multiLevelType w:val="hybridMultilevel"/>
    <w:tmpl w:val="8F32E05A"/>
    <w:lvl w:ilvl="0" w:tplc="FFFFFFFF">
      <w:start w:val="1"/>
      <w:numFmt w:val="upperRoman"/>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7A064E"/>
    <w:multiLevelType w:val="multilevel"/>
    <w:tmpl w:val="FACA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76328"/>
    <w:multiLevelType w:val="hybridMultilevel"/>
    <w:tmpl w:val="A81E2DBC"/>
    <w:lvl w:ilvl="0" w:tplc="F3AEF896">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6026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A9A32">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A4DD1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C6A3E">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6BBDC">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E60A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A6F58">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6BFA4">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C45348"/>
    <w:multiLevelType w:val="hybridMultilevel"/>
    <w:tmpl w:val="5536692A"/>
    <w:lvl w:ilvl="0" w:tplc="D494B6A8">
      <w:start w:val="1"/>
      <w:numFmt w:val="upperRoman"/>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86CB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4EE7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CE300">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C8B3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985026">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3028DC">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3E95FA">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41DE">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3417206">
    <w:abstractNumId w:val="1"/>
  </w:num>
  <w:num w:numId="2" w16cid:durableId="180896440">
    <w:abstractNumId w:val="8"/>
  </w:num>
  <w:num w:numId="3" w16cid:durableId="367687253">
    <w:abstractNumId w:val="5"/>
  </w:num>
  <w:num w:numId="4" w16cid:durableId="1412193530">
    <w:abstractNumId w:val="11"/>
  </w:num>
  <w:num w:numId="5" w16cid:durableId="569849934">
    <w:abstractNumId w:val="15"/>
  </w:num>
  <w:num w:numId="6" w16cid:durableId="1087769179">
    <w:abstractNumId w:val="24"/>
  </w:num>
  <w:num w:numId="7" w16cid:durableId="488180922">
    <w:abstractNumId w:val="7"/>
  </w:num>
  <w:num w:numId="8" w16cid:durableId="1086539612">
    <w:abstractNumId w:val="6"/>
  </w:num>
  <w:num w:numId="9" w16cid:durableId="1066221205">
    <w:abstractNumId w:val="12"/>
  </w:num>
  <w:num w:numId="10" w16cid:durableId="786970088">
    <w:abstractNumId w:val="14"/>
  </w:num>
  <w:num w:numId="11" w16cid:durableId="1878002599">
    <w:abstractNumId w:val="17"/>
  </w:num>
  <w:num w:numId="12" w16cid:durableId="1038356553">
    <w:abstractNumId w:val="18"/>
  </w:num>
  <w:num w:numId="13" w16cid:durableId="228465678">
    <w:abstractNumId w:val="13"/>
  </w:num>
  <w:num w:numId="14" w16cid:durableId="782460428">
    <w:abstractNumId w:val="10"/>
  </w:num>
  <w:num w:numId="15" w16cid:durableId="1342658625">
    <w:abstractNumId w:val="4"/>
  </w:num>
  <w:num w:numId="16" w16cid:durableId="153878982">
    <w:abstractNumId w:val="23"/>
  </w:num>
  <w:num w:numId="17" w16cid:durableId="807435711">
    <w:abstractNumId w:val="9"/>
  </w:num>
  <w:num w:numId="18" w16cid:durableId="2035644906">
    <w:abstractNumId w:val="2"/>
  </w:num>
  <w:num w:numId="19" w16cid:durableId="1279528822">
    <w:abstractNumId w:val="20"/>
  </w:num>
  <w:num w:numId="20" w16cid:durableId="1286930617">
    <w:abstractNumId w:val="3"/>
  </w:num>
  <w:num w:numId="21" w16cid:durableId="1552576162">
    <w:abstractNumId w:val="21"/>
  </w:num>
  <w:num w:numId="22" w16cid:durableId="1395349521">
    <w:abstractNumId w:val="0"/>
  </w:num>
  <w:num w:numId="23" w16cid:durableId="1810707975">
    <w:abstractNumId w:val="22"/>
  </w:num>
  <w:num w:numId="24" w16cid:durableId="1256474374">
    <w:abstractNumId w:val="19"/>
  </w:num>
  <w:num w:numId="25" w16cid:durableId="1225722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05"/>
    <w:rsid w:val="0000782C"/>
    <w:rsid w:val="0002129D"/>
    <w:rsid w:val="000426ED"/>
    <w:rsid w:val="00065953"/>
    <w:rsid w:val="00081505"/>
    <w:rsid w:val="000A336B"/>
    <w:rsid w:val="0018405C"/>
    <w:rsid w:val="001D0014"/>
    <w:rsid w:val="00236966"/>
    <w:rsid w:val="00253014"/>
    <w:rsid w:val="002B3FBA"/>
    <w:rsid w:val="002B55BB"/>
    <w:rsid w:val="002E6E81"/>
    <w:rsid w:val="0032248C"/>
    <w:rsid w:val="00373090"/>
    <w:rsid w:val="00432666"/>
    <w:rsid w:val="00493F04"/>
    <w:rsid w:val="004A4399"/>
    <w:rsid w:val="004B3A95"/>
    <w:rsid w:val="004F4696"/>
    <w:rsid w:val="004F5FE0"/>
    <w:rsid w:val="00526E86"/>
    <w:rsid w:val="005A2946"/>
    <w:rsid w:val="00634C4D"/>
    <w:rsid w:val="006606D8"/>
    <w:rsid w:val="006852E8"/>
    <w:rsid w:val="006B0088"/>
    <w:rsid w:val="00770C61"/>
    <w:rsid w:val="007F07F3"/>
    <w:rsid w:val="008068BB"/>
    <w:rsid w:val="0085608C"/>
    <w:rsid w:val="008B7546"/>
    <w:rsid w:val="008D1CC4"/>
    <w:rsid w:val="008D2443"/>
    <w:rsid w:val="00956EBB"/>
    <w:rsid w:val="0097105B"/>
    <w:rsid w:val="00972CA0"/>
    <w:rsid w:val="00997DF9"/>
    <w:rsid w:val="009D33BA"/>
    <w:rsid w:val="009E23A4"/>
    <w:rsid w:val="00A03DE3"/>
    <w:rsid w:val="00A258B3"/>
    <w:rsid w:val="00AF0FA6"/>
    <w:rsid w:val="00AF6EB1"/>
    <w:rsid w:val="00B41F77"/>
    <w:rsid w:val="00B60847"/>
    <w:rsid w:val="00BD54A8"/>
    <w:rsid w:val="00BE4917"/>
    <w:rsid w:val="00D23D4D"/>
    <w:rsid w:val="00D42727"/>
    <w:rsid w:val="00DE5FDA"/>
    <w:rsid w:val="00DF4488"/>
    <w:rsid w:val="00E273ED"/>
    <w:rsid w:val="00E41933"/>
    <w:rsid w:val="00EE163C"/>
    <w:rsid w:val="00F31561"/>
    <w:rsid w:val="00F4747D"/>
    <w:rsid w:val="00F54C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F014B"/>
  <w15:docId w15:val="{4BA1C91C-E456-4C28-B529-5C70590F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362"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316"/>
      <w:ind w:left="4832" w:hanging="10"/>
      <w:jc w:val="center"/>
      <w:outlineLvl w:val="0"/>
    </w:pPr>
    <w:rPr>
      <w:rFonts w:ascii="Times New Roman" w:eastAsia="Times New Roman" w:hAnsi="Times New Roman" w:cs="Times New Roman"/>
      <w:b/>
      <w:color w:val="000000"/>
      <w:sz w:val="24"/>
    </w:rPr>
  </w:style>
  <w:style w:type="paragraph" w:styleId="Ttulo3">
    <w:name w:val="heading 3"/>
    <w:basedOn w:val="Normal"/>
    <w:next w:val="Normal"/>
    <w:link w:val="Ttulo3Char"/>
    <w:uiPriority w:val="9"/>
    <w:semiHidden/>
    <w:unhideWhenUsed/>
    <w:qFormat/>
    <w:rsid w:val="0085608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semiHidden/>
    <w:unhideWhenUsed/>
    <w:qFormat/>
    <w:rsid w:val="008560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2B3FB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aliases w:val="hd,he,*Header,Cabeçalho superior,Cabeçalho superior Char Char Char Char,Cabeçalho superior Char Char Char,Cabeçalho superior Char Char,Char,he Char Char Char,he Char Char Char Char Char Char,he Char Char Char Char Char,Heading 1a"/>
    <w:basedOn w:val="Normal"/>
    <w:link w:val="CabealhoChar"/>
    <w:uiPriority w:val="99"/>
    <w:unhideWhenUsed/>
    <w:rsid w:val="001D0014"/>
    <w:pPr>
      <w:tabs>
        <w:tab w:val="center" w:pos="4252"/>
        <w:tab w:val="right" w:pos="8504"/>
      </w:tabs>
      <w:spacing w:after="0" w:line="240" w:lineRule="auto"/>
    </w:pPr>
  </w:style>
  <w:style w:type="character" w:customStyle="1" w:styleId="CabealhoChar">
    <w:name w:val="Cabeçalho Char"/>
    <w:aliases w:val="hd Char,he Char,*Header Char,Cabeçalho superior Char,Cabeçalho superior Char Char Char Char Char,Cabeçalho superior Char Char Char Char1,Cabeçalho superior Char Char Char1,Char Char,he Char Char Char Char,he Char Char Char Char Char Char1"/>
    <w:basedOn w:val="Fontepargpadro"/>
    <w:link w:val="Cabealho"/>
    <w:uiPriority w:val="99"/>
    <w:rsid w:val="001D0014"/>
    <w:rPr>
      <w:rFonts w:ascii="Times New Roman" w:eastAsia="Times New Roman" w:hAnsi="Times New Roman" w:cs="Times New Roman"/>
      <w:color w:val="000000"/>
      <w:sz w:val="24"/>
    </w:rPr>
  </w:style>
  <w:style w:type="paragraph" w:styleId="PargrafodaLista">
    <w:name w:val="List Paragraph"/>
    <w:basedOn w:val="Normal"/>
    <w:uiPriority w:val="34"/>
    <w:qFormat/>
    <w:rsid w:val="001D0014"/>
    <w:pPr>
      <w:ind w:left="720"/>
      <w:contextualSpacing/>
    </w:pPr>
  </w:style>
  <w:style w:type="paragraph" w:styleId="Rodap">
    <w:name w:val="footer"/>
    <w:basedOn w:val="Normal"/>
    <w:link w:val="RodapChar"/>
    <w:uiPriority w:val="99"/>
    <w:semiHidden/>
    <w:unhideWhenUsed/>
    <w:rsid w:val="0032248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2248C"/>
    <w:rPr>
      <w:rFonts w:ascii="Times New Roman" w:eastAsia="Times New Roman" w:hAnsi="Times New Roman" w:cs="Times New Roman"/>
      <w:color w:val="000000"/>
      <w:sz w:val="24"/>
    </w:rPr>
  </w:style>
  <w:style w:type="paragraph" w:styleId="NormalWeb">
    <w:name w:val="Normal (Web)"/>
    <w:basedOn w:val="Normal"/>
    <w:uiPriority w:val="99"/>
    <w:unhideWhenUsed/>
    <w:rsid w:val="004F5FE0"/>
    <w:pPr>
      <w:spacing w:before="100" w:beforeAutospacing="1" w:after="100" w:afterAutospacing="1" w:line="240" w:lineRule="auto"/>
      <w:ind w:left="0" w:firstLine="0"/>
      <w:jc w:val="left"/>
    </w:pPr>
    <w:rPr>
      <w:color w:val="auto"/>
      <w:kern w:val="0"/>
      <w:szCs w:val="24"/>
      <w14:ligatures w14:val="none"/>
    </w:rPr>
  </w:style>
  <w:style w:type="character" w:styleId="Forte">
    <w:name w:val="Strong"/>
    <w:uiPriority w:val="22"/>
    <w:qFormat/>
    <w:rsid w:val="004F5FE0"/>
    <w:rPr>
      <w:b/>
      <w:bCs/>
    </w:rPr>
  </w:style>
  <w:style w:type="character" w:customStyle="1" w:styleId="Ttulo5Char">
    <w:name w:val="Título 5 Char"/>
    <w:basedOn w:val="Fontepargpadro"/>
    <w:link w:val="Ttulo5"/>
    <w:uiPriority w:val="9"/>
    <w:semiHidden/>
    <w:rsid w:val="002B3FBA"/>
    <w:rPr>
      <w:rFonts w:asciiTheme="majorHAnsi" w:eastAsiaTheme="majorEastAsia" w:hAnsiTheme="majorHAnsi" w:cstheme="majorBidi"/>
      <w:color w:val="2F5496" w:themeColor="accent1" w:themeShade="BF"/>
      <w:sz w:val="24"/>
    </w:rPr>
  </w:style>
  <w:style w:type="character" w:customStyle="1" w:styleId="Ttulo3Char">
    <w:name w:val="Título 3 Char"/>
    <w:basedOn w:val="Fontepargpadro"/>
    <w:link w:val="Ttulo3"/>
    <w:uiPriority w:val="9"/>
    <w:semiHidden/>
    <w:rsid w:val="0085608C"/>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85608C"/>
    <w:rPr>
      <w:rFonts w:asciiTheme="majorHAnsi" w:eastAsiaTheme="majorEastAsia" w:hAnsiTheme="majorHAnsi" w:cstheme="majorBidi"/>
      <w:i/>
      <w:iCs/>
      <w:color w:val="2F5496" w:themeColor="accent1" w:themeShade="BF"/>
      <w:sz w:val="24"/>
    </w:rPr>
  </w:style>
  <w:style w:type="paragraph" w:styleId="SemEspaamento">
    <w:name w:val="No Spacing"/>
    <w:uiPriority w:val="1"/>
    <w:qFormat/>
    <w:rsid w:val="00D42727"/>
    <w:pPr>
      <w:spacing w:after="0" w:line="240" w:lineRule="auto"/>
    </w:pPr>
    <w:rPr>
      <w:rFonts w:ascii="Calibri" w:eastAsia="Calibri" w:hAnsi="Calibr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1952</Words>
  <Characters>10547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Galvão .</dc:creator>
  <cp:keywords/>
  <cp:lastModifiedBy>Rubens Eduardo Santa Rita de Oliviera</cp:lastModifiedBy>
  <cp:revision>2</cp:revision>
  <cp:lastPrinted>2025-12-01T13:35:00Z</cp:lastPrinted>
  <dcterms:created xsi:type="dcterms:W3CDTF">2025-12-03T11:30:00Z</dcterms:created>
  <dcterms:modified xsi:type="dcterms:W3CDTF">2025-12-03T11:30:00Z</dcterms:modified>
</cp:coreProperties>
</file>